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jc w:val="center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>板橋榮家福利中心</w:t>
      </w:r>
      <w:r>
        <w:rPr>
          <w:rFonts w:ascii="標楷體" w:hAnsi="標楷體" w:eastAsia="標楷體"/>
          <w:spacing w:val="-3"/>
          <w:sz w:val="36"/>
          <w:szCs w:val="36"/>
        </w:rPr>
        <w:t>場地出租公開標租案</w:t>
      </w:r>
    </w:p>
    <w:p>
      <w:pPr>
        <w:pStyle w:val="Title"/>
        <w:jc w:val="center"/>
        <w:rPr>
          <w:rFonts w:eastAsia="標楷體"/>
          <w:sz w:val="36"/>
          <w:szCs w:val="36"/>
        </w:rPr>
      </w:pPr>
      <w:r>
        <w:rPr>
          <w:rFonts w:ascii="標楷體" w:hAnsi="標楷體" w:eastAsia="標楷體"/>
          <w:spacing w:val="-3"/>
          <w:sz w:val="36"/>
          <w:szCs w:val="36"/>
        </w:rPr>
        <w:t>標租規範</w:t>
      </w:r>
    </w:p>
    <w:p>
      <w:pPr>
        <w:pStyle w:val="Title"/>
        <w:jc w:val="center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</w:r>
    </w:p>
    <w:p>
      <w:pPr>
        <w:pStyle w:val="BodyText"/>
        <w:widowControl w:val="false"/>
        <w:suppressAutoHyphens w:val="true"/>
        <w:bidi w:val="0"/>
        <w:spacing w:lineRule="exact" w:line="400" w:before="0" w:after="0"/>
        <w:ind w:left="0" w:right="0" w:hanging="0"/>
        <w:jc w:val="left"/>
        <w:rPr/>
      </w:pPr>
      <w:r>
        <w:rPr/>
        <w:t xml:space="preserve"> </w:t>
      </w:r>
      <w:r>
        <w:rPr>
          <w:rFonts w:ascii="標楷體" w:hAnsi="標楷體" w:eastAsia="標楷體"/>
          <w:spacing w:val="-4"/>
        </w:rPr>
        <w:t>一、 標租目的：為經營醫療用品便利商店業務</w:t>
      </w:r>
      <w:r>
        <w:rPr>
          <w:rFonts w:ascii="標楷體" w:hAnsi="標楷體" w:cs="MingLiU_HKSCS" w:eastAsia="標楷體"/>
          <w:spacing w:val="-4"/>
        </w:rPr>
        <w:t>，提供甲方住民及職員工</w:t>
      </w:r>
      <w:r>
        <w:rPr>
          <w:rFonts w:ascii="標楷體" w:hAnsi="標楷體" w:eastAsia="標楷體"/>
          <w:spacing w:val="-4"/>
        </w:rPr>
        <w:t>等選購服務</w:t>
      </w:r>
      <w:r>
        <w:rPr>
          <w:rFonts w:ascii="標楷體" w:hAnsi="標楷體" w:cs="MingLiU_HKSCS" w:eastAsia="標楷體"/>
          <w:spacing w:val="-4"/>
        </w:rPr>
        <w:t>。</w:t>
      </w:r>
    </w:p>
    <w:p>
      <w:pPr>
        <w:pStyle w:val="BodyText"/>
        <w:spacing w:lineRule="exact" w:line="400" w:before="0" w:after="0"/>
        <w:ind w:left="0" w:right="0" w:hanging="0"/>
        <w:rPr/>
      </w:pPr>
      <w:r>
        <w:rPr/>
        <w:t xml:space="preserve"> </w:t>
      </w:r>
      <w:r>
        <w:rPr>
          <w:rFonts w:ascii="標楷體" w:hAnsi="標楷體" w:eastAsia="標楷體"/>
          <w:spacing w:val="-4"/>
        </w:rPr>
        <w:t>二、 出租方式：依「國有公用不動產收益原則」第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  <w:spacing w:val="-36"/>
        </w:rPr>
        <w:t>條第</w:t>
      </w:r>
      <w:r>
        <w:rPr>
          <w:rFonts w:eastAsia="標楷體" w:ascii="標楷體" w:hAnsi="標楷體"/>
        </w:rPr>
        <w:t>1</w:t>
      </w:r>
      <w:r>
        <w:rPr>
          <w:rFonts w:ascii="標楷體" w:hAnsi="標楷體" w:eastAsia="標楷體"/>
          <w:spacing w:val="-14"/>
        </w:rPr>
        <w:t>項公開標租。</w:t>
      </w:r>
    </w:p>
    <w:p>
      <w:pPr>
        <w:pStyle w:val="BodyText"/>
        <w:widowControl w:val="false"/>
        <w:tabs>
          <w:tab w:val="clear" w:pos="720"/>
          <w:tab w:val="left" w:pos="10200" w:leader="none"/>
        </w:tabs>
        <w:suppressAutoHyphens w:val="true"/>
        <w:bidi w:val="0"/>
        <w:spacing w:lineRule="exact" w:line="400" w:before="0" w:after="0"/>
        <w:ind w:left="0" w:right="57" w:hanging="0"/>
        <w:jc w:val="left"/>
        <w:rPr/>
      </w:pPr>
      <w:r>
        <w:rPr/>
        <w:t xml:space="preserve"> </w:t>
      </w:r>
      <w:r>
        <w:rPr>
          <w:rFonts w:ascii="標楷體" w:hAnsi="標楷體" w:eastAsia="標楷體"/>
          <w:spacing w:val="-6"/>
        </w:rPr>
        <w:t>三、 履約期間：自民國</w:t>
      </w:r>
      <w:r>
        <w:rPr>
          <w:rFonts w:eastAsia="標楷體" w:ascii="標楷體" w:hAnsi="標楷體"/>
          <w:spacing w:val="-6"/>
        </w:rPr>
        <w:t>115</w:t>
      </w:r>
      <w:r>
        <w:rPr>
          <w:rFonts w:ascii="標楷體" w:hAnsi="標楷體" w:eastAsia="標楷體"/>
          <w:spacing w:val="-48"/>
        </w:rPr>
        <w:t>年</w:t>
      </w:r>
      <w:r>
        <w:rPr>
          <w:rFonts w:eastAsia="標楷體" w:ascii="標楷體" w:hAnsi="標楷體"/>
          <w:spacing w:val="-48"/>
        </w:rPr>
        <w:t>7</w:t>
      </w:r>
      <w:r>
        <w:rPr>
          <w:rFonts w:ascii="標楷體" w:hAnsi="標楷體" w:eastAsia="標楷體"/>
          <w:spacing w:val="-48"/>
        </w:rPr>
        <w:t>月</w:t>
      </w:r>
      <w:r>
        <w:rPr>
          <w:rFonts w:eastAsia="標楷體" w:ascii="標楷體" w:hAnsi="標楷體"/>
          <w:spacing w:val="-48"/>
        </w:rPr>
        <w:t>9</w:t>
      </w:r>
      <w:r>
        <w:rPr>
          <w:rFonts w:ascii="標楷體" w:hAnsi="標楷體" w:eastAsia="標楷體"/>
          <w:spacing w:val="-29"/>
        </w:rPr>
        <w:t>日起至</w:t>
      </w:r>
      <w:r>
        <w:rPr>
          <w:rFonts w:eastAsia="標楷體" w:ascii="標楷體" w:hAnsi="標楷體"/>
          <w:spacing w:val="-29"/>
        </w:rPr>
        <w:t>120</w:t>
      </w:r>
      <w:r>
        <w:rPr>
          <w:rFonts w:ascii="標楷體" w:hAnsi="標楷體" w:eastAsia="標楷體"/>
          <w:spacing w:val="-48"/>
        </w:rPr>
        <w:t>年</w:t>
      </w:r>
      <w:r>
        <w:rPr>
          <w:rFonts w:eastAsia="標楷體" w:ascii="標楷體" w:hAnsi="標楷體"/>
          <w:spacing w:val="-48"/>
        </w:rPr>
        <w:t>7</w:t>
      </w:r>
      <w:r>
        <w:rPr>
          <w:rFonts w:ascii="標楷體" w:hAnsi="標楷體" w:eastAsia="標楷體"/>
          <w:spacing w:val="-47"/>
        </w:rPr>
        <w:t>月</w:t>
      </w:r>
      <w:r>
        <w:rPr>
          <w:rFonts w:eastAsia="標楷體" w:ascii="標楷體" w:hAnsi="標楷體"/>
          <w:spacing w:val="-47"/>
        </w:rPr>
        <w:t>8</w:t>
      </w:r>
      <w:r>
        <w:rPr>
          <w:rFonts w:ascii="標楷體" w:hAnsi="標楷體" w:eastAsia="標楷體"/>
          <w:spacing w:val="-47"/>
        </w:rPr>
        <w:t>日</w:t>
      </w:r>
      <w:r>
        <w:rPr>
          <w:rFonts w:ascii="標楷體" w:hAnsi="標楷體" w:eastAsia="標楷體"/>
          <w:spacing w:val="-18"/>
        </w:rPr>
        <w:t>止</w:t>
      </w:r>
      <w:r>
        <w:rPr>
          <w:rFonts w:ascii="標楷體" w:hAnsi="標楷體" w:cs="MingLiU_HKSCS" w:eastAsia="標楷體"/>
          <w:spacing w:val="-18"/>
        </w:rPr>
        <w:t>，為期</w:t>
      </w:r>
      <w:r>
        <w:rPr>
          <w:rFonts w:eastAsia="標楷體" w:cs="MingLiU_HKSCS" w:ascii="標楷體" w:hAnsi="標楷體"/>
          <w:spacing w:val="-18"/>
        </w:rPr>
        <w:t>5</w:t>
      </w:r>
      <w:r>
        <w:rPr>
          <w:rFonts w:ascii="標楷體" w:hAnsi="標楷體" w:cs="MingLiU_HKSCS" w:eastAsia="標楷體"/>
          <w:spacing w:val="-18"/>
        </w:rPr>
        <w:t>年</w:t>
      </w:r>
      <w:r>
        <w:rPr>
          <w:rFonts w:ascii="標楷體" w:hAnsi="標楷體" w:eastAsia="標楷體"/>
          <w:spacing w:val="-18"/>
        </w:rPr>
        <w:t>。</w:t>
      </w:r>
    </w:p>
    <w:p>
      <w:pPr>
        <w:pStyle w:val="BodyText"/>
        <w:widowControl w:val="false"/>
        <w:tabs>
          <w:tab w:val="clear" w:pos="720"/>
          <w:tab w:val="left" w:pos="10200" w:leader="none"/>
        </w:tabs>
        <w:suppressAutoHyphens w:val="true"/>
        <w:bidi w:val="0"/>
        <w:spacing w:lineRule="exact" w:line="400" w:before="0" w:after="0"/>
        <w:ind w:left="0" w:right="57" w:hanging="0"/>
        <w:jc w:val="left"/>
        <w:rPr/>
      </w:pPr>
      <w:r>
        <w:rPr/>
        <w:t xml:space="preserve"> </w:t>
      </w:r>
      <w:r>
        <w:rPr>
          <w:rFonts w:ascii="標楷體" w:hAnsi="標楷體" w:eastAsia="標楷體"/>
          <w:spacing w:val="-2"/>
        </w:rPr>
        <w:t>四、 標租場所：福利中心；營業面積總計約</w:t>
      </w:r>
      <w:r>
        <w:rPr>
          <w:rFonts w:eastAsia="標楷體" w:ascii="標楷體" w:hAnsi="標楷體"/>
          <w:spacing w:val="-2"/>
        </w:rPr>
        <w:t>93.475</w:t>
      </w:r>
      <w:r>
        <w:rPr>
          <w:rFonts w:ascii="標楷體" w:hAnsi="標楷體" w:eastAsia="標楷體"/>
          <w:spacing w:val="-6"/>
        </w:rPr>
        <w:t>平方公尺</w:t>
      </w:r>
      <w:r>
        <w:rPr>
          <w:rFonts w:eastAsia="標楷體" w:ascii="標楷體" w:hAnsi="標楷體"/>
          <w:spacing w:val="-6"/>
        </w:rPr>
        <w:t>(</w:t>
      </w:r>
      <w:r>
        <w:rPr>
          <w:rFonts w:ascii="標楷體" w:hAnsi="標楷體" w:eastAsia="標楷體"/>
          <w:spacing w:val="-6"/>
        </w:rPr>
        <w:t>包含賣場及儲藏室</w:t>
      </w:r>
      <w:r>
        <w:rPr>
          <w:rFonts w:eastAsia="標楷體" w:ascii="標楷體" w:hAnsi="標楷體"/>
          <w:spacing w:val="-6"/>
        </w:rPr>
        <w:t>)</w:t>
      </w:r>
      <w:r>
        <w:rPr>
          <w:rFonts w:ascii="標楷體" w:hAnsi="標楷體" w:cs="MingLiU_HKSCS" w:eastAsia="標楷體"/>
          <w:spacing w:val="-6"/>
        </w:rPr>
        <w:t>。</w:t>
      </w:r>
    </w:p>
    <w:p>
      <w:pPr>
        <w:pStyle w:val="BodyText"/>
        <w:spacing w:lineRule="exact" w:line="400" w:before="0" w:after="0"/>
        <w:ind w:left="57" w:right="0" w:hanging="0"/>
        <w:rPr/>
      </w:pPr>
      <w:r>
        <w:rPr>
          <w:rFonts w:ascii="標楷體" w:hAnsi="標楷體" w:eastAsia="標楷體"/>
          <w:spacing w:val="-6"/>
        </w:rPr>
        <w:t>五、 經營內容：提供醫療用品、便利商店飲料及簡速食品等販售服務。</w:t>
      </w:r>
    </w:p>
    <w:p>
      <w:pPr>
        <w:pStyle w:val="BodyText"/>
        <w:spacing w:lineRule="exact" w:line="400" w:before="0" w:after="0"/>
        <w:ind w:left="776" w:right="63" w:hanging="720"/>
        <w:rPr/>
      </w:pPr>
      <w:r>
        <w:rPr>
          <w:rFonts w:ascii="標楷體" w:hAnsi="標楷體" w:eastAsia="標楷體"/>
          <w:spacing w:val="-6"/>
        </w:rPr>
        <w:t>六、 投標資格及文件：應檢附相關證明文件</w:t>
      </w:r>
      <w:r>
        <w:rPr>
          <w:rFonts w:eastAsia="標楷體" w:ascii="標楷體" w:hAnsi="標楷體"/>
          <w:spacing w:val="-6"/>
        </w:rPr>
        <w:t>(</w:t>
      </w:r>
      <w:r>
        <w:rPr>
          <w:rFonts w:ascii="標楷體" w:hAnsi="標楷體" w:eastAsia="標楷體"/>
          <w:spacing w:val="-6"/>
        </w:rPr>
        <w:t>除招標文件另有規定外，以影本為原</w:t>
      </w:r>
      <w:r>
        <w:rPr>
          <w:rFonts w:ascii="標楷體" w:hAnsi="標楷體" w:eastAsia="標楷體"/>
          <w:spacing w:val="-2"/>
        </w:rPr>
        <w:t>則，影本請加蓋廠商及負責人印章，本家於必要時得通知廠商限期提出正本以供查驗</w:t>
      </w:r>
      <w:r>
        <w:rPr>
          <w:rFonts w:eastAsia="標楷體" w:ascii="標楷體" w:hAnsi="標楷體"/>
          <w:spacing w:val="-2"/>
        </w:rPr>
        <w:t>)</w:t>
      </w:r>
      <w:r>
        <w:rPr>
          <w:rFonts w:ascii="標楷體" w:hAnsi="標楷體" w:eastAsia="標楷體"/>
          <w:spacing w:val="-2"/>
        </w:rPr>
        <w:t>。</w:t>
      </w:r>
    </w:p>
    <w:p>
      <w:pPr>
        <w:pStyle w:val="BodyText"/>
        <w:spacing w:lineRule="exact" w:line="400" w:before="0" w:after="0"/>
        <w:ind w:left="0" w:right="64" w:hanging="0"/>
        <w:rPr/>
      </w:pPr>
      <w:r>
        <w:rPr>
          <w:rFonts w:ascii="標楷體" w:hAnsi="標楷體" w:eastAsia="標楷體"/>
          <w:spacing w:val="-3"/>
        </w:rPr>
        <w:t xml:space="preserve">   </w:t>
      </w:r>
      <w:r>
        <w:rPr>
          <w:rFonts w:eastAsia="標楷體" w:ascii="標楷體" w:hAnsi="標楷體"/>
          <w:spacing w:val="-2"/>
        </w:rPr>
        <w:t>(</w:t>
      </w:r>
      <w:r>
        <w:rPr>
          <w:rFonts w:ascii="標楷體" w:hAnsi="標楷體" w:eastAsia="標楷體"/>
          <w:spacing w:val="-2"/>
        </w:rPr>
        <w:t>一</w:t>
      </w:r>
      <w:r>
        <w:rPr>
          <w:rFonts w:eastAsia="標楷體" w:ascii="標楷體" w:hAnsi="標楷體"/>
          <w:spacing w:val="-2"/>
        </w:rPr>
        <w:t>)</w:t>
      </w:r>
      <w:r>
        <w:rPr>
          <w:rFonts w:ascii="標楷體" w:hAnsi="標楷體" w:eastAsia="標楷體"/>
          <w:spacing w:val="-2"/>
        </w:rPr>
        <w:t>公司登記或商業登記證明文件：得檢附以經濟部</w:t>
      </w:r>
      <w:r>
        <w:rPr>
          <w:rFonts w:eastAsia="標楷體" w:ascii="標楷體" w:hAnsi="標楷體"/>
          <w:spacing w:val="-2"/>
        </w:rPr>
        <w:t>-</w:t>
      </w:r>
      <w:r>
        <w:rPr>
          <w:rFonts w:ascii="標楷體" w:hAnsi="標楷體" w:eastAsia="標楷體"/>
          <w:spacing w:val="-2"/>
        </w:rPr>
        <w:t>全國商工行政服務入口網</w:t>
      </w:r>
    </w:p>
    <w:p>
      <w:pPr>
        <w:pStyle w:val="BodyText"/>
        <w:spacing w:lineRule="exact" w:line="400" w:before="0" w:after="0"/>
        <w:ind w:left="0" w:right="64" w:hanging="0"/>
        <w:rPr/>
      </w:pPr>
      <w:r>
        <w:rPr/>
        <w:t xml:space="preserve">             </w:t>
      </w:r>
      <w:r>
        <w:rPr>
          <w:rFonts w:ascii="Segoe UI" w:hAnsi="Segoe UI" w:cs="MingLiU_HKSCS"/>
        </w:rPr>
        <w:t xml:space="preserve"> </w:t>
      </w:r>
      <w:r>
        <w:rPr>
          <w:rFonts w:ascii="MingLiU_HKSCS" w:hAnsi="MingLiU_HKSCS" w:cs="MingLiU_HKSCS"/>
        </w:rPr>
        <w:t>—</w:t>
      </w:r>
      <w:r>
        <w:rPr>
          <w:rFonts w:ascii="標楷體" w:hAnsi="標楷體" w:eastAsia="標楷體"/>
          <w:spacing w:val="-2"/>
        </w:rPr>
        <w:t>商工登記資料公示查詢系統列印登記之資料。</w:t>
      </w:r>
    </w:p>
    <w:p>
      <w:pPr>
        <w:pStyle w:val="BodyText"/>
        <w:spacing w:lineRule="exact" w:line="400" w:before="0" w:after="0"/>
        <w:ind w:left="896" w:right="65" w:hanging="560"/>
        <w:rPr/>
      </w:pPr>
      <w:r>
        <w:rPr/>
        <w:t xml:space="preserve"> </w:t>
      </w:r>
      <w:r>
        <w:rPr>
          <w:rFonts w:eastAsia="標楷體" w:ascii="標楷體" w:hAnsi="標楷體"/>
          <w:spacing w:val="-2"/>
        </w:rPr>
        <w:t>(</w:t>
      </w:r>
      <w:r>
        <w:rPr>
          <w:rFonts w:ascii="標楷體" w:hAnsi="標楷體" w:eastAsia="標楷體"/>
          <w:spacing w:val="-2"/>
        </w:rPr>
        <w:t>二</w:t>
      </w:r>
      <w:r>
        <w:rPr>
          <w:rFonts w:eastAsia="標楷體" w:ascii="標楷體" w:hAnsi="標楷體"/>
          <w:spacing w:val="-2"/>
        </w:rPr>
        <w:t>)</w:t>
      </w:r>
      <w:r>
        <w:rPr>
          <w:rFonts w:ascii="標楷體" w:hAnsi="標楷體" w:eastAsia="標楷體"/>
          <w:spacing w:val="-2"/>
        </w:rPr>
        <w:t xml:space="preserve">最近一期營業稅納稅證明：新設立者得以主管機關核發之核准設立登記公 </w:t>
      </w:r>
    </w:p>
    <w:p>
      <w:pPr>
        <w:pStyle w:val="BodyText"/>
        <w:spacing w:lineRule="exact" w:line="400" w:before="0" w:after="0"/>
        <w:ind w:left="896" w:right="65" w:hanging="560"/>
        <w:rPr/>
      </w:pPr>
      <w:r>
        <w:rPr/>
        <w:t xml:space="preserve">         </w:t>
      </w:r>
      <w:r>
        <w:rPr>
          <w:rFonts w:ascii="標楷體" w:hAnsi="標楷體" w:eastAsia="標楷體"/>
          <w:spacing w:val="-2"/>
        </w:rPr>
        <w:t>函及申領統一發票購票證相關文件代之。</w:t>
      </w:r>
    </w:p>
    <w:p>
      <w:pPr>
        <w:pStyle w:val="BodyText"/>
        <w:spacing w:lineRule="exact" w:line="400" w:before="0" w:after="0"/>
        <w:ind w:left="896" w:right="65" w:hanging="560"/>
        <w:rPr/>
      </w:pPr>
      <w:r>
        <w:rPr/>
        <w:t xml:space="preserve"> </w:t>
      </w:r>
      <w:r>
        <w:rPr>
          <w:rFonts w:eastAsia="標楷體" w:ascii="標楷體" w:hAnsi="標楷體"/>
          <w:spacing w:val="-2"/>
        </w:rPr>
        <w:t>(</w:t>
      </w:r>
      <w:r>
        <w:rPr>
          <w:rFonts w:ascii="標楷體" w:hAnsi="標楷體" w:eastAsia="標楷體"/>
          <w:spacing w:val="-2"/>
        </w:rPr>
        <w:t>三</w:t>
      </w:r>
      <w:r>
        <w:rPr>
          <w:rFonts w:eastAsia="標楷體" w:ascii="標楷體" w:hAnsi="標楷體"/>
          <w:spacing w:val="-2"/>
        </w:rPr>
        <w:t>)</w:t>
      </w:r>
      <w:r>
        <w:rPr>
          <w:rFonts w:ascii="標楷體" w:hAnsi="標楷體" w:eastAsia="標楷體"/>
          <w:spacing w:val="-2"/>
        </w:rPr>
        <w:t>廠商信用之證明</w:t>
      </w:r>
      <w:r>
        <w:rPr>
          <w:rFonts w:ascii="標楷體" w:hAnsi="標楷體" w:cs="MingLiU_HKSCS" w:eastAsia="標楷體"/>
          <w:spacing w:val="-2"/>
        </w:rPr>
        <w:t>。</w:t>
      </w:r>
    </w:p>
    <w:p>
      <w:pPr>
        <w:pStyle w:val="BodyText"/>
        <w:spacing w:lineRule="exact" w:line="400" w:before="0" w:after="0"/>
        <w:ind w:left="337" w:right="0" w:hanging="0"/>
        <w:rPr/>
      </w:pPr>
      <w:r>
        <w:rPr/>
        <w:t xml:space="preserve"> </w:t>
      </w:r>
      <w:r>
        <w:rPr>
          <w:rFonts w:eastAsia="標楷體" w:ascii="標楷體" w:hAnsi="標楷體"/>
          <w:spacing w:val="-8"/>
        </w:rPr>
        <w:t>(</w:t>
      </w:r>
      <w:r>
        <w:rPr>
          <w:rFonts w:ascii="標楷體" w:hAnsi="標楷體" w:eastAsia="標楷體"/>
          <w:spacing w:val="-8"/>
        </w:rPr>
        <w:t>四</w:t>
      </w:r>
      <w:r>
        <w:rPr>
          <w:rFonts w:eastAsia="標楷體" w:ascii="標楷體" w:hAnsi="標楷體"/>
          <w:spacing w:val="-8"/>
        </w:rPr>
        <w:t>)</w:t>
      </w:r>
      <w:r>
        <w:rPr>
          <w:rFonts w:ascii="標楷體" w:hAnsi="標楷體" w:eastAsia="標楷體"/>
          <w:spacing w:val="-8"/>
        </w:rPr>
        <w:t>具醫療用品</w:t>
      </w:r>
      <w:r>
        <w:rPr>
          <w:rFonts w:ascii="標楷體" w:hAnsi="標楷體" w:cs="MingLiU_HKSCS" w:eastAsia="標楷體"/>
          <w:spacing w:val="-8"/>
        </w:rPr>
        <w:t>、便利商店之營業項目證明</w:t>
      </w:r>
      <w:r>
        <w:rPr>
          <w:rFonts w:ascii="標楷體" w:hAnsi="標楷體" w:eastAsia="標楷體"/>
          <w:spacing w:val="-16"/>
        </w:rPr>
        <w:t>。</w:t>
      </w:r>
    </w:p>
    <w:p>
      <w:pPr>
        <w:pStyle w:val="BodyText"/>
        <w:spacing w:lineRule="exact" w:line="400" w:before="0" w:after="0"/>
        <w:ind w:left="337" w:right="0" w:hanging="0"/>
        <w:rPr/>
      </w:pPr>
      <w:r>
        <w:rPr/>
        <w:t xml:space="preserve"> </w:t>
      </w:r>
      <w:r>
        <w:rPr>
          <w:rFonts w:eastAsia="標楷體" w:ascii="標楷體" w:hAnsi="標楷體"/>
          <w:spacing w:val="-3"/>
        </w:rPr>
        <w:t>(</w:t>
      </w:r>
      <w:r>
        <w:rPr>
          <w:rFonts w:ascii="標楷體" w:hAnsi="標楷體" w:eastAsia="標楷體"/>
          <w:spacing w:val="-3"/>
        </w:rPr>
        <w:t>五</w:t>
      </w:r>
      <w:r>
        <w:rPr>
          <w:rFonts w:eastAsia="標楷體" w:ascii="標楷體" w:hAnsi="標楷體"/>
          <w:spacing w:val="-3"/>
        </w:rPr>
        <w:t>)</w:t>
      </w:r>
      <w:r>
        <w:rPr>
          <w:rFonts w:ascii="標楷體" w:hAnsi="標楷體" w:eastAsia="標楷體"/>
          <w:spacing w:val="-3"/>
        </w:rPr>
        <w:t>投標單</w:t>
      </w:r>
    </w:p>
    <w:p>
      <w:pPr>
        <w:pStyle w:val="BodyText"/>
        <w:spacing w:lineRule="exact" w:line="400" w:before="0" w:after="0"/>
        <w:rPr/>
      </w:pPr>
      <w:r>
        <w:rPr/>
        <w:t xml:space="preserve"> </w:t>
      </w:r>
      <w:r>
        <w:rPr>
          <w:rFonts w:ascii="標楷體" w:hAnsi="標楷體" w:eastAsia="標楷體"/>
          <w:spacing w:val="-5"/>
        </w:rPr>
        <w:t>廠商標價年租金不得低於新臺幣</w:t>
      </w:r>
      <w:r>
        <w:rPr>
          <w:rFonts w:eastAsia="標楷體" w:ascii="標楷體" w:hAnsi="標楷體"/>
          <w:spacing w:val="-5"/>
        </w:rPr>
        <w:t>21</w:t>
      </w:r>
      <w:r>
        <w:rPr>
          <w:rFonts w:ascii="標楷體" w:hAnsi="標楷體" w:eastAsia="標楷體"/>
          <w:spacing w:val="-10"/>
        </w:rPr>
        <w:t>萬元整</w:t>
      </w:r>
      <w:r>
        <w:rPr>
          <w:rFonts w:eastAsia="標楷體" w:ascii="標楷體" w:hAnsi="標楷體"/>
          <w:spacing w:val="-10"/>
        </w:rPr>
        <w:t>(</w:t>
      </w:r>
      <w:r>
        <w:rPr>
          <w:rFonts w:ascii="標楷體" w:hAnsi="標楷體" w:eastAsia="標楷體"/>
          <w:spacing w:val="-10"/>
        </w:rPr>
        <w:t>即每月場地租金不得低於新臺幣</w:t>
      </w:r>
    </w:p>
    <w:p>
      <w:pPr>
        <w:pStyle w:val="BodyText"/>
        <w:spacing w:lineRule="exact" w:line="400" w:before="0" w:after="0"/>
        <w:ind w:left="896" w:right="125" w:hanging="0"/>
        <w:rPr/>
      </w:pPr>
      <w:r>
        <w:rPr/>
        <w:t xml:space="preserve">  </w:t>
      </w:r>
      <w:r>
        <w:rPr>
          <w:rFonts w:eastAsia="標楷體" w:ascii="標楷體" w:hAnsi="標楷體"/>
        </w:rPr>
        <w:t>1</w:t>
      </w:r>
      <w:r>
        <w:rPr>
          <w:rFonts w:ascii="標楷體" w:hAnsi="標楷體" w:eastAsia="標楷體"/>
          <w:spacing w:val="-23"/>
        </w:rPr>
        <w:t>萬</w:t>
      </w:r>
      <w:r>
        <w:rPr>
          <w:rFonts w:eastAsia="標楷體" w:ascii="標楷體" w:hAnsi="標楷體"/>
          <w:spacing w:val="-23"/>
        </w:rPr>
        <w:t>7,500</w:t>
      </w:r>
      <w:r>
        <w:rPr>
          <w:rFonts w:ascii="標楷體" w:hAnsi="標楷體" w:eastAsia="標楷體"/>
          <w:spacing w:val="-23"/>
        </w:rPr>
        <w:t>元</w:t>
      </w:r>
      <w:r>
        <w:rPr>
          <w:rFonts w:eastAsia="標楷體" w:ascii="標楷體" w:hAnsi="標楷體"/>
          <w:spacing w:val="-23"/>
        </w:rPr>
        <w:t>)</w:t>
      </w:r>
      <w:r>
        <w:rPr>
          <w:rFonts w:ascii="標楷體" w:hAnsi="標楷體" w:eastAsia="標楷體"/>
          <w:spacing w:val="-23"/>
        </w:rPr>
        <w:t>，低於新臺幣</w:t>
      </w:r>
      <w:r>
        <w:rPr>
          <w:rFonts w:eastAsia="標楷體" w:ascii="標楷體" w:hAnsi="標楷體"/>
          <w:spacing w:val="-23"/>
        </w:rPr>
        <w:t>21</w:t>
      </w:r>
      <w:r>
        <w:rPr>
          <w:rFonts w:ascii="標楷體" w:hAnsi="標楷體" w:eastAsia="標楷體"/>
          <w:spacing w:val="-9"/>
        </w:rPr>
        <w:t xml:space="preserve">萬元者為不合格標；視為不合格標之廠商，不 </w:t>
      </w:r>
    </w:p>
    <w:p>
      <w:pPr>
        <w:pStyle w:val="BodyText"/>
        <w:spacing w:lineRule="exact" w:line="400" w:before="0" w:after="0"/>
        <w:ind w:left="896" w:right="125" w:hanging="0"/>
        <w:rPr/>
      </w:pPr>
      <w:r>
        <w:rPr/>
        <w:t xml:space="preserve"> </w:t>
      </w:r>
      <w:r>
        <w:rPr>
          <w:rFonts w:ascii="標楷體" w:hAnsi="標楷體" w:eastAsia="標楷體"/>
          <w:spacing w:val="-9"/>
        </w:rPr>
        <w:t>得參加評審，</w:t>
      </w:r>
      <w:r>
        <w:rPr>
          <w:rFonts w:ascii="標楷體" w:hAnsi="標楷體" w:eastAsia="標楷體"/>
          <w:spacing w:val="-2"/>
        </w:rPr>
        <w:t>不得為優勝廠商及決標對象</w:t>
      </w:r>
      <w:r>
        <w:rPr>
          <w:rFonts w:eastAsia="標楷體" w:ascii="標楷體" w:hAnsi="標楷體"/>
          <w:spacing w:val="-2"/>
        </w:rPr>
        <w:t>)</w:t>
      </w:r>
      <w:r>
        <w:rPr>
          <w:rFonts w:ascii="標楷體" w:hAnsi="標楷體" w:eastAsia="標楷體"/>
          <w:spacing w:val="-2"/>
        </w:rPr>
        <w:t>。</w:t>
      </w:r>
    </w:p>
    <w:p>
      <w:pPr>
        <w:pStyle w:val="BodyText"/>
        <w:widowControl w:val="false"/>
        <w:suppressAutoHyphens w:val="true"/>
        <w:bidi w:val="0"/>
        <w:spacing w:lineRule="exact" w:line="400" w:before="0" w:after="0"/>
        <w:ind w:left="907" w:right="0" w:hanging="850"/>
        <w:jc w:val="left"/>
        <w:rPr/>
      </w:pPr>
      <w:r>
        <w:rPr>
          <w:rFonts w:ascii="標楷體" w:hAnsi="標楷體" w:eastAsia="標楷體"/>
          <w:spacing w:val="-6"/>
        </w:rPr>
        <w:t>七、 本家僅提供場地租賃，所提供商品之品質均由廠商負責，若發生消費者爭議</w:t>
      </w:r>
      <w:r>
        <w:rPr>
          <w:rFonts w:ascii="標楷體" w:hAnsi="標楷體" w:eastAsia="標楷體"/>
          <w:spacing w:val="-2"/>
        </w:rPr>
        <w:t>事</w:t>
      </w:r>
    </w:p>
    <w:p>
      <w:pPr>
        <w:pStyle w:val="BodyText"/>
        <w:widowControl w:val="false"/>
        <w:suppressAutoHyphens w:val="true"/>
        <w:bidi w:val="0"/>
        <w:spacing w:lineRule="exact" w:line="400" w:before="0" w:after="0"/>
        <w:ind w:left="0" w:right="0" w:hanging="0"/>
        <w:jc w:val="left"/>
        <w:rPr>
          <w:rFonts w:eastAsia="標楷體"/>
        </w:rPr>
      </w:pPr>
      <w:r>
        <w:rPr>
          <w:rFonts w:eastAsia="標楷體"/>
        </w:rPr>
        <w:t xml:space="preserve">      </w:t>
      </w:r>
      <w:r>
        <w:rPr>
          <w:rFonts w:eastAsia="標楷體"/>
        </w:rPr>
        <w:t>件</w:t>
      </w:r>
      <w:r>
        <w:rPr>
          <w:rFonts w:ascii="標楷體" w:hAnsi="標楷體" w:eastAsia="標楷體"/>
          <w:spacing w:val="-2"/>
        </w:rPr>
        <w:t>，均由廠商自行處理，並承受一切法律責任。</w:t>
      </w:r>
    </w:p>
    <w:p>
      <w:pPr>
        <w:pStyle w:val="BodyText"/>
        <w:widowControl w:val="false"/>
        <w:suppressAutoHyphens w:val="true"/>
        <w:bidi w:val="0"/>
        <w:spacing w:lineRule="exact" w:line="400" w:before="0" w:after="0"/>
        <w:ind w:left="340" w:right="0" w:hanging="283"/>
        <w:jc w:val="left"/>
        <w:rPr/>
      </w:pPr>
      <w:r>
        <w:rPr>
          <w:rFonts w:ascii="標楷體" w:hAnsi="標楷體" w:eastAsia="標楷體"/>
          <w:spacing w:val="-2"/>
        </w:rPr>
        <w:t>八、 廠商提出之經營企劃書暨評審作業相關規定：</w:t>
      </w:r>
    </w:p>
    <w:p>
      <w:pPr>
        <w:pStyle w:val="BodyText"/>
        <w:widowControl w:val="false"/>
        <w:suppressAutoHyphens w:val="true"/>
        <w:bidi w:val="0"/>
        <w:spacing w:lineRule="exact" w:line="400" w:before="0" w:after="0"/>
        <w:ind w:left="340" w:right="0" w:hanging="283"/>
        <w:jc w:val="left"/>
        <w:rPr/>
      </w:pPr>
      <w:r>
        <w:rPr>
          <w:rFonts w:ascii="標楷體" w:hAnsi="標楷體" w:eastAsia="標楷體"/>
          <w:spacing w:val="-2"/>
        </w:rPr>
        <w:t xml:space="preserve">     </w:t>
      </w:r>
      <w:r>
        <w:rPr>
          <w:rFonts w:ascii="標楷體" w:hAnsi="標楷體" w:eastAsia="標楷體"/>
          <w:sz w:val="28"/>
          <w:szCs w:val="28"/>
        </w:rPr>
        <w:t>書寫經營企劃書之前，請投標廠商務必先行實地勘察本家福利中心整體設施，   再行規劃符合本家需求之經營計劃。</w:t>
      </w:r>
      <w:r>
        <w:rPr>
          <w:rFonts w:eastAsia="標楷體" w:ascii="標楷體" w:hAnsi="標楷體"/>
          <w:sz w:val="28"/>
          <w:szCs w:val="28"/>
        </w:rPr>
        <w:t>(</w:t>
      </w:r>
      <w:r>
        <w:rPr>
          <w:rFonts w:ascii="標楷體" w:hAnsi="標楷體" w:eastAsia="標楷體"/>
          <w:sz w:val="28"/>
          <w:szCs w:val="28"/>
        </w:rPr>
        <w:t xml:space="preserve">廠商投標之經營企劃書內容視為契約內 </w:t>
      </w:r>
    </w:p>
    <w:p>
      <w:pPr>
        <w:pStyle w:val="BodyText"/>
        <w:widowControl w:val="false"/>
        <w:suppressAutoHyphens w:val="true"/>
        <w:bidi w:val="0"/>
        <w:spacing w:lineRule="exact" w:line="400" w:before="0" w:after="0"/>
        <w:ind w:left="340" w:right="0" w:hanging="283"/>
        <w:jc w:val="left"/>
        <w:rPr/>
      </w:pPr>
      <w:r>
        <w:rPr/>
        <w:t xml:space="preserve">          </w:t>
      </w:r>
      <w:r>
        <w:rPr>
          <w:rFonts w:ascii="標楷體" w:hAnsi="標楷體" w:eastAsia="標楷體"/>
          <w:sz w:val="28"/>
          <w:szCs w:val="28"/>
        </w:rPr>
        <w:t>容之一部份</w:t>
      </w:r>
      <w:r>
        <w:rPr>
          <w:rFonts w:eastAsia="標楷體" w:ascii="標楷體" w:hAnsi="標楷體"/>
          <w:sz w:val="28"/>
          <w:szCs w:val="28"/>
        </w:rPr>
        <w:t>)</w:t>
      </w:r>
      <w:r>
        <w:rPr>
          <w:rFonts w:ascii="標楷體" w:hAnsi="標楷體" w:eastAsia="標楷體"/>
          <w:sz w:val="28"/>
          <w:szCs w:val="28"/>
        </w:rPr>
        <w:t>請廠商依實際能力填寫</w:t>
      </w:r>
      <w:bookmarkStart w:id="0" w:name="_GoBack"/>
      <w:bookmarkEnd w:id="0"/>
      <w:r>
        <w:rPr>
          <w:rFonts w:ascii="標楷體" w:hAnsi="標楷體" w:cs="MingLiU_HKSCS" w:eastAsia="標楷體"/>
          <w:sz w:val="28"/>
          <w:szCs w:val="28"/>
        </w:rPr>
        <w:t>，</w:t>
      </w:r>
      <w:r>
        <w:rPr>
          <w:rFonts w:ascii="標楷體" w:hAnsi="標楷體" w:eastAsia="標楷體"/>
          <w:sz w:val="28"/>
          <w:szCs w:val="28"/>
        </w:rPr>
        <w:t>經營企劃書內容請依下列順序說明：</w:t>
      </w:r>
    </w:p>
    <w:p>
      <w:pPr>
        <w:pStyle w:val="BodyText"/>
        <w:widowControl w:val="false"/>
        <w:suppressAutoHyphens w:val="true"/>
        <w:bidi w:val="0"/>
        <w:spacing w:lineRule="exact" w:line="400" w:before="0" w:after="0"/>
        <w:ind w:left="340" w:right="0" w:hanging="283"/>
        <w:jc w:val="left"/>
        <w:rPr/>
      </w:pPr>
      <w:r>
        <w:rPr>
          <w:rFonts w:ascii="標楷體" w:hAnsi="標楷體" w:eastAsia="標楷體"/>
          <w:sz w:val="28"/>
          <w:szCs w:val="28"/>
        </w:rPr>
        <w:t xml:space="preserve">     </w:t>
      </w:r>
      <w:r>
        <w:rPr>
          <w:rFonts w:eastAsia="標楷體" w:ascii="標楷體" w:hAnsi="標楷體"/>
          <w:sz w:val="28"/>
          <w:szCs w:val="28"/>
        </w:rPr>
        <w:t>(</w:t>
      </w:r>
      <w:r>
        <w:rPr>
          <w:rFonts w:ascii="標楷體" w:hAnsi="標楷體" w:eastAsia="標楷體"/>
          <w:b/>
          <w:sz w:val="28"/>
          <w:szCs w:val="28"/>
        </w:rPr>
        <w:t>繳交之企劃書請以電腦打字，以</w:t>
      </w:r>
      <w:r>
        <w:rPr>
          <w:rFonts w:eastAsia="標楷體" w:ascii="標楷體" w:hAnsi="標楷體"/>
          <w:b/>
          <w:sz w:val="28"/>
          <w:szCs w:val="28"/>
        </w:rPr>
        <w:t>A4</w:t>
      </w:r>
      <w:r>
        <w:rPr>
          <w:rFonts w:ascii="標楷體" w:hAnsi="標楷體" w:eastAsia="標楷體"/>
          <w:b/>
          <w:sz w:val="28"/>
          <w:szCs w:val="28"/>
        </w:rPr>
        <w:t>紙繕寫打字裝訂成冊『</w:t>
      </w:r>
      <w:r>
        <w:rPr>
          <w:rFonts w:eastAsia="標楷體" w:ascii="標楷體" w:hAnsi="標楷體"/>
          <w:b/>
          <w:sz w:val="28"/>
          <w:szCs w:val="28"/>
        </w:rPr>
        <w:t>10</w:t>
      </w:r>
      <w:r>
        <w:rPr>
          <w:rFonts w:ascii="標楷體" w:hAnsi="標楷體" w:eastAsia="標楷體"/>
          <w:b/>
          <w:sz w:val="28"/>
          <w:szCs w:val="28"/>
        </w:rPr>
        <w:t xml:space="preserve">份』，頁數以  </w:t>
      </w:r>
    </w:p>
    <w:p>
      <w:pPr>
        <w:pStyle w:val="BodyText"/>
        <w:widowControl w:val="false"/>
        <w:suppressAutoHyphens w:val="true"/>
        <w:bidi w:val="0"/>
        <w:spacing w:lineRule="exact" w:line="400" w:before="0" w:after="0"/>
        <w:ind w:left="340" w:right="0" w:hanging="283"/>
        <w:jc w:val="left"/>
        <w:rPr/>
      </w:pPr>
      <w:r>
        <w:rPr/>
        <w:t xml:space="preserve">          </w:t>
      </w:r>
      <w:r>
        <w:rPr>
          <w:rFonts w:eastAsia="標楷體" w:ascii="標楷體" w:hAnsi="標楷體"/>
          <w:b/>
          <w:sz w:val="28"/>
          <w:szCs w:val="28"/>
        </w:rPr>
        <w:t>20</w:t>
      </w:r>
      <w:r>
        <w:rPr>
          <w:rFonts w:ascii="標楷體" w:hAnsi="標楷體" w:eastAsia="標楷體"/>
          <w:b/>
          <w:sz w:val="28"/>
          <w:szCs w:val="28"/>
        </w:rPr>
        <w:t xml:space="preserve">頁 </w:t>
      </w:r>
      <w:r>
        <w:rPr>
          <w:rFonts w:eastAsia="標楷體" w:ascii="標楷體" w:hAnsi="標楷體"/>
          <w:b/>
          <w:sz w:val="28"/>
          <w:szCs w:val="28"/>
        </w:rPr>
        <w:t>(</w:t>
      </w:r>
      <w:r>
        <w:rPr>
          <w:rFonts w:ascii="標楷體" w:hAnsi="標楷體" w:eastAsia="標楷體"/>
          <w:b/>
          <w:sz w:val="28"/>
          <w:szCs w:val="28"/>
        </w:rPr>
        <w:t>不含附件</w:t>
      </w:r>
      <w:r>
        <w:rPr>
          <w:rFonts w:eastAsia="標楷體" w:ascii="標楷體" w:hAnsi="標楷體"/>
          <w:b/>
          <w:sz w:val="28"/>
          <w:szCs w:val="28"/>
        </w:rPr>
        <w:t>)</w:t>
      </w:r>
      <w:r>
        <w:rPr>
          <w:rFonts w:ascii="標楷體" w:hAnsi="標楷體" w:eastAsia="標楷體"/>
          <w:b/>
          <w:sz w:val="28"/>
          <w:szCs w:val="28"/>
        </w:rPr>
        <w:t>內為原則</w:t>
      </w:r>
      <w:r>
        <w:rPr>
          <w:rFonts w:eastAsia="標楷體" w:ascii="標楷體" w:hAnsi="標楷體"/>
          <w:b/>
          <w:sz w:val="28"/>
          <w:szCs w:val="28"/>
        </w:rPr>
        <w:t>)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 </w:t>
      </w:r>
      <w:r>
        <w:rPr>
          <w:rFonts w:eastAsia="標楷體" w:ascii="標楷體" w:hAnsi="標楷體"/>
          <w:sz w:val="28"/>
          <w:szCs w:val="28"/>
        </w:rPr>
        <w:t>1</w:t>
      </w:r>
      <w:r>
        <w:rPr>
          <w:rFonts w:ascii="標楷體" w:hAnsi="標楷體" w:eastAsia="標楷體"/>
          <w:sz w:val="28"/>
          <w:szCs w:val="28"/>
        </w:rPr>
        <w:t>、投標廠商簡介及履約能力：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1</w:t>
      </w:r>
      <w:r>
        <w:rPr>
          <w:rFonts w:ascii="標楷體" w:hAnsi="標楷體" w:eastAsia="標楷體"/>
          <w:sz w:val="28"/>
          <w:szCs w:val="28"/>
        </w:rPr>
        <w:t xml:space="preserve">）基本資料：【含公司規模、年營業額、員工人數、人員編制和人員素  </w:t>
      </w:r>
    </w:p>
    <w:p>
      <w:pPr>
        <w:pStyle w:val="Normal"/>
        <w:widowControl/>
        <w:spacing w:lineRule="exact" w:line="400" w:before="0" w:after="0"/>
        <w:rPr/>
      </w:pPr>
      <w:r>
        <w:rPr/>
        <w:t xml:space="preserve">                             </w:t>
      </w:r>
      <w:r>
        <w:rPr>
          <w:rFonts w:ascii="標楷體" w:hAnsi="標楷體" w:eastAsia="標楷體"/>
          <w:sz w:val="28"/>
          <w:szCs w:val="28"/>
        </w:rPr>
        <w:t>質等】。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2</w:t>
      </w:r>
      <w:r>
        <w:rPr>
          <w:rFonts w:ascii="標楷體" w:hAnsi="標楷體" w:eastAsia="標楷體"/>
          <w:sz w:val="28"/>
          <w:szCs w:val="28"/>
        </w:rPr>
        <w:t>）人員相關教育訓練【含人員招募計劃、年度教育訓練等】。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3</w:t>
      </w:r>
      <w:r>
        <w:rPr>
          <w:rFonts w:ascii="標楷體" w:hAnsi="標楷體" w:eastAsia="標楷體"/>
          <w:sz w:val="28"/>
          <w:szCs w:val="28"/>
        </w:rPr>
        <w:t xml:space="preserve">）履約實績：【其他經營據點之介紹、過去業績】。 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 </w:t>
      </w:r>
      <w:r>
        <w:rPr>
          <w:rFonts w:eastAsia="標楷體" w:ascii="標楷體" w:hAnsi="標楷體"/>
          <w:sz w:val="28"/>
          <w:szCs w:val="28"/>
        </w:rPr>
        <w:t>2</w:t>
      </w:r>
      <w:r>
        <w:rPr>
          <w:rFonts w:ascii="標楷體" w:hAnsi="標楷體" w:eastAsia="標楷體"/>
          <w:sz w:val="28"/>
          <w:szCs w:val="28"/>
        </w:rPr>
        <w:t>、設計施工與營運規劃能力：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1</w:t>
      </w:r>
      <w:r>
        <w:rPr>
          <w:rFonts w:ascii="標楷體" w:hAnsi="標楷體" w:eastAsia="標楷體"/>
          <w:sz w:val="28"/>
          <w:szCs w:val="28"/>
        </w:rPr>
        <w:t>）空間配置及景觀布置設計。</w:t>
      </w:r>
    </w:p>
    <w:p>
      <w:pPr>
        <w:pStyle w:val="Normal"/>
        <w:widowControl/>
        <w:spacing w:lineRule="exact" w:line="400" w:before="0" w:after="0"/>
        <w:ind w:left="1601" w:right="0" w:hanging="910"/>
        <w:rPr/>
      </w:pPr>
      <w:r>
        <w:rPr>
          <w:rFonts w:ascii="標楷體" w:hAnsi="標楷體" w:eastAsia="標楷體"/>
          <w:sz w:val="28"/>
          <w:szCs w:val="28"/>
        </w:rPr>
        <w:t xml:space="preserve">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2</w:t>
      </w:r>
      <w:r>
        <w:rPr>
          <w:rFonts w:ascii="標楷體" w:hAnsi="標楷體" w:eastAsia="標楷體"/>
          <w:sz w:val="28"/>
          <w:szCs w:val="28"/>
        </w:rPr>
        <w:t>）營運計畫【含經營理念、營業服務項目、營業時間、營運管理、服務品質之管制及行銷活動等】。</w:t>
      </w:r>
    </w:p>
    <w:p>
      <w:pPr>
        <w:pStyle w:val="Normal"/>
        <w:widowControl/>
        <w:spacing w:lineRule="exact" w:line="400" w:before="0" w:after="0"/>
        <w:ind w:left="1611" w:right="0" w:hanging="920"/>
        <w:rPr/>
      </w:pPr>
      <w:r>
        <w:rPr>
          <w:rFonts w:ascii="標楷體" w:hAnsi="標楷體" w:eastAsia="標楷體"/>
          <w:sz w:val="28"/>
          <w:szCs w:val="28"/>
        </w:rPr>
        <w:t xml:space="preserve">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3</w:t>
      </w:r>
      <w:r>
        <w:rPr>
          <w:rFonts w:ascii="標楷體" w:hAnsi="標楷體" w:eastAsia="標楷體"/>
          <w:sz w:val="28"/>
          <w:szCs w:val="28"/>
        </w:rPr>
        <w:t>）公共安全衛生管理【含軟體、硬體設施管理及緊急應變措施</w:t>
      </w:r>
      <w:r>
        <w:rPr>
          <w:rFonts w:eastAsia="標楷體" w:ascii="標楷體" w:hAnsi="標楷體"/>
          <w:sz w:val="28"/>
          <w:szCs w:val="28"/>
        </w:rPr>
        <w:t>(</w:t>
      </w:r>
      <w:r>
        <w:rPr>
          <w:rFonts w:ascii="標楷體" w:hAnsi="標楷體" w:eastAsia="標楷體"/>
          <w:sz w:val="28"/>
          <w:szCs w:val="28"/>
        </w:rPr>
        <w:t>如：火災、地震</w:t>
      </w:r>
      <w:r>
        <w:rPr>
          <w:rFonts w:eastAsia="標楷體" w:ascii="標楷體" w:hAnsi="標楷體"/>
          <w:sz w:val="28"/>
          <w:szCs w:val="28"/>
        </w:rPr>
        <w:t>)</w:t>
      </w:r>
      <w:r>
        <w:rPr>
          <w:rFonts w:ascii="標楷體" w:hAnsi="標楷體" w:eastAsia="標楷體"/>
          <w:sz w:val="28"/>
          <w:szCs w:val="28"/>
        </w:rPr>
        <w:t>及保險</w:t>
      </w:r>
      <w:r>
        <w:rPr>
          <w:rFonts w:eastAsia="標楷體" w:ascii="標楷體" w:hAnsi="標楷體"/>
          <w:sz w:val="28"/>
          <w:szCs w:val="28"/>
        </w:rPr>
        <w:t>(</w:t>
      </w:r>
      <w:r>
        <w:rPr>
          <w:rFonts w:ascii="標楷體" w:hAnsi="標楷體" w:eastAsia="標楷體"/>
          <w:sz w:val="28"/>
          <w:szCs w:val="28"/>
        </w:rPr>
        <w:t>含火險、公共意外險</w:t>
      </w:r>
      <w:r>
        <w:rPr>
          <w:rFonts w:eastAsia="標楷體" w:ascii="標楷體" w:hAnsi="標楷體"/>
          <w:sz w:val="28"/>
          <w:szCs w:val="28"/>
        </w:rPr>
        <w:t>)</w:t>
      </w:r>
      <w:r>
        <w:rPr>
          <w:rFonts w:ascii="標楷體" w:hAnsi="標楷體" w:eastAsia="標楷體"/>
          <w:sz w:val="28"/>
          <w:szCs w:val="28"/>
        </w:rPr>
        <w:t xml:space="preserve">等】。 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4</w:t>
      </w:r>
      <w:r>
        <w:rPr>
          <w:rFonts w:ascii="標楷體" w:hAnsi="標楷體" w:eastAsia="標楷體"/>
          <w:sz w:val="28"/>
          <w:szCs w:val="28"/>
        </w:rPr>
        <w:t>）人力配置計畫。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5</w:t>
      </w:r>
      <w:r>
        <w:rPr>
          <w:rFonts w:ascii="標楷體" w:hAnsi="標楷體" w:eastAsia="標楷體"/>
          <w:sz w:val="28"/>
          <w:szCs w:val="28"/>
        </w:rPr>
        <w:t>）顧客滿意管理【含客訴處理流程】。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6</w:t>
      </w:r>
      <w:r>
        <w:rPr>
          <w:rFonts w:ascii="標楷體" w:hAnsi="標楷體" w:eastAsia="標楷體"/>
          <w:sz w:val="28"/>
          <w:szCs w:val="28"/>
        </w:rPr>
        <w:t>）其他：如水電表設置、電信及電力系統及相關排水系統設定之規劃。</w:t>
      </w:r>
    </w:p>
    <w:p>
      <w:pPr>
        <w:pStyle w:val="Normal"/>
        <w:widowControl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  </w:t>
      </w:r>
      <w:r>
        <w:rPr>
          <w:rFonts w:eastAsia="標楷體" w:ascii="標楷體" w:hAnsi="標楷體"/>
          <w:sz w:val="28"/>
          <w:szCs w:val="28"/>
        </w:rPr>
        <w:t>3</w:t>
      </w:r>
      <w:r>
        <w:rPr>
          <w:rFonts w:ascii="標楷體" w:hAnsi="標楷體" w:eastAsia="標楷體"/>
          <w:sz w:val="28"/>
          <w:szCs w:val="28"/>
        </w:rPr>
        <w:t>、回饋與創新服務：</w:t>
      </w:r>
    </w:p>
    <w:p>
      <w:pPr>
        <w:pStyle w:val="Normal"/>
        <w:spacing w:lineRule="exact" w:line="400" w:before="0" w:after="0"/>
        <w:ind w:left="1560" w:right="0" w:hanging="1560"/>
        <w:rPr/>
      </w:pPr>
      <w:r>
        <w:rPr>
          <w:rFonts w:ascii="標楷體" w:hAnsi="標楷體" w:eastAsia="標楷體"/>
          <w:sz w:val="28"/>
          <w:szCs w:val="28"/>
        </w:rPr>
        <w:t xml:space="preserve">    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1</w:t>
      </w:r>
      <w:r>
        <w:rPr>
          <w:rFonts w:ascii="標楷體" w:hAnsi="標楷體" w:eastAsia="標楷體"/>
          <w:sz w:val="28"/>
          <w:szCs w:val="28"/>
        </w:rPr>
        <w:t>）其他有利於提升服務之具體方案、優惠方案或</w:t>
      </w:r>
      <w:r>
        <w:rPr>
          <w:rFonts w:ascii="標楷體" w:hAnsi="標楷體" w:cs="Arial" w:eastAsia="標楷體"/>
          <w:color w:val="000000"/>
          <w:sz w:val="28"/>
          <w:szCs w:val="28"/>
        </w:rPr>
        <w:t>回饋方案【由廠商自行提出構想或方案，例如：</w:t>
      </w:r>
      <w:r>
        <w:rPr>
          <w:rFonts w:ascii="標楷體" w:hAnsi="標楷體" w:eastAsia="標楷體"/>
          <w:color w:val="000000"/>
          <w:sz w:val="28"/>
          <w:szCs w:val="28"/>
        </w:rPr>
        <w:t>場地設備投資</w:t>
      </w:r>
      <w:r>
        <w:rPr>
          <w:rFonts w:ascii="標楷體" w:hAnsi="標楷體" w:cs="Arial" w:eastAsia="標楷體"/>
          <w:color w:val="000000"/>
          <w:sz w:val="28"/>
          <w:szCs w:val="28"/>
        </w:rPr>
        <w:t>、家區環境認養或改善、優惠住民及職員工便利服務等，並詳載於經營企劃書內】。</w:t>
      </w:r>
    </w:p>
    <w:p>
      <w:pPr>
        <w:pStyle w:val="Normal"/>
        <w:widowControl/>
        <w:spacing w:lineRule="exact" w:line="400" w:before="0" w:after="0"/>
        <w:ind w:left="1560" w:right="0" w:hanging="1560"/>
        <w:rPr/>
      </w:pPr>
      <w:r>
        <w:rPr>
          <w:rFonts w:ascii="標楷體" w:hAnsi="標楷體" w:eastAsia="標楷體"/>
          <w:sz w:val="28"/>
          <w:szCs w:val="28"/>
        </w:rPr>
        <w:t xml:space="preserve">    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2</w:t>
      </w:r>
      <w:r>
        <w:rPr>
          <w:rFonts w:ascii="標楷體" w:hAnsi="標楷體" w:eastAsia="標楷體"/>
          <w:sz w:val="28"/>
          <w:szCs w:val="28"/>
        </w:rPr>
        <w:t>）請說明將如何規劃配合本家節能措施【因應政府節能減碳、限制使用環保餐具及資源回收等政策，本家僅提供場地，環保餐具、清潔消毒、廢棄物處置作業及環境污染預防等措施概由廠商負責】。</w:t>
      </w:r>
    </w:p>
    <w:p>
      <w:pPr>
        <w:pStyle w:val="Normal"/>
        <w:widowControl/>
        <w:snapToGrid w:val="false"/>
        <w:spacing w:lineRule="exact" w:line="400" w:before="0" w:after="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九</w:t>
      </w:r>
      <w:r>
        <w:rPr>
          <w:rFonts w:ascii="標楷體" w:hAnsi="標楷體" w:cs="Arial" w:eastAsia="標楷體"/>
          <w:color w:val="000000"/>
          <w:sz w:val="28"/>
          <w:szCs w:val="28"/>
        </w:rPr>
        <w:t>、其他事項</w:t>
      </w:r>
    </w:p>
    <w:p>
      <w:pPr>
        <w:pStyle w:val="Normal"/>
        <w:widowControl/>
        <w:snapToGrid w:val="false"/>
        <w:spacing w:lineRule="exact" w:line="400" w:before="0" w:after="0"/>
        <w:ind w:left="0" w:right="0" w:firstLine="390"/>
        <w:rPr/>
      </w:pP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1</w:t>
      </w:r>
      <w:r>
        <w:rPr>
          <w:rFonts w:ascii="標楷體" w:hAnsi="標楷體" w:eastAsia="標楷體"/>
          <w:sz w:val="28"/>
          <w:szCs w:val="28"/>
        </w:rPr>
        <w:t>）</w:t>
      </w:r>
      <w:r>
        <w:rPr>
          <w:rFonts w:ascii="標楷體" w:hAnsi="標楷體" w:cs="Arial" w:eastAsia="標楷體"/>
          <w:color w:val="000000"/>
          <w:sz w:val="28"/>
          <w:szCs w:val="28"/>
        </w:rPr>
        <w:t>得標廠商須負責場地管理工作及周邊至少</w:t>
      </w:r>
      <w:r>
        <w:rPr>
          <w:rFonts w:eastAsia="標楷體" w:cs="Arial" w:ascii="標楷體" w:hAnsi="標楷體"/>
          <w:color w:val="000000"/>
          <w:sz w:val="28"/>
          <w:szCs w:val="28"/>
        </w:rPr>
        <w:t>20</w:t>
      </w:r>
      <w:r>
        <w:rPr>
          <w:rFonts w:ascii="標楷體" w:hAnsi="標楷體" w:cs="Arial" w:eastAsia="標楷體"/>
          <w:color w:val="000000"/>
          <w:sz w:val="28"/>
          <w:szCs w:val="28"/>
        </w:rPr>
        <w:t>公尺之環境整潔。</w:t>
      </w:r>
    </w:p>
    <w:p>
      <w:pPr>
        <w:pStyle w:val="Normal"/>
        <w:widowControl/>
        <w:spacing w:lineRule="exact" w:line="400" w:before="0" w:after="0"/>
        <w:ind w:left="982" w:right="0" w:hanging="598"/>
        <w:rPr/>
      </w:pP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2</w:t>
      </w:r>
      <w:r>
        <w:rPr>
          <w:rFonts w:ascii="標楷體" w:hAnsi="標楷體" w:eastAsia="標楷體"/>
          <w:sz w:val="28"/>
          <w:szCs w:val="28"/>
        </w:rPr>
        <w:t xml:space="preserve">）廠商必須申請裝設場地使用之電話及水、電表等，水費、電費（便利商店 </w:t>
      </w:r>
    </w:p>
    <w:p>
      <w:pPr>
        <w:pStyle w:val="Normal"/>
        <w:widowControl/>
        <w:spacing w:lineRule="exact" w:line="400" w:before="0" w:after="0"/>
        <w:ind w:left="982" w:right="0" w:hanging="598"/>
        <w:rPr/>
      </w:pPr>
      <w:r>
        <w:rPr/>
        <w:t xml:space="preserve">            </w:t>
      </w:r>
      <w:r>
        <w:rPr>
          <w:rFonts w:ascii="標楷體" w:hAnsi="標楷體" w:eastAsia="標楷體"/>
          <w:sz w:val="28"/>
          <w:szCs w:val="28"/>
        </w:rPr>
        <w:t>每月依使用度數計費繳交）、電話費（按月繳納）、營業稅捐（依年度申</w:t>
      </w:r>
    </w:p>
    <w:p>
      <w:pPr>
        <w:pStyle w:val="Normal"/>
        <w:widowControl/>
        <w:spacing w:lineRule="exact" w:line="400" w:before="0" w:after="0"/>
        <w:ind w:left="982" w:right="0" w:hanging="598"/>
        <w:rPr/>
      </w:pPr>
      <w:r>
        <w:rPr/>
        <w:t xml:space="preserve">            </w:t>
      </w:r>
      <w:r>
        <w:rPr>
          <w:rFonts w:ascii="標楷體" w:hAnsi="標楷體" w:eastAsia="標楷體"/>
          <w:sz w:val="28"/>
          <w:szCs w:val="28"/>
        </w:rPr>
        <w:t>報）、場地使用費（租金）等以每年為一期方式，一次繳交</w:t>
      </w:r>
      <w:r>
        <w:rPr>
          <w:rFonts w:eastAsia="標楷體" w:ascii="標楷體" w:hAnsi="標楷體"/>
          <w:sz w:val="28"/>
          <w:szCs w:val="28"/>
        </w:rPr>
        <w:t>1</w:t>
      </w:r>
      <w:r>
        <w:rPr>
          <w:rFonts w:ascii="標楷體" w:hAnsi="標楷體" w:eastAsia="標楷體"/>
          <w:sz w:val="28"/>
          <w:szCs w:val="28"/>
        </w:rPr>
        <w:t>年租金費，</w:t>
      </w:r>
    </w:p>
    <w:p>
      <w:pPr>
        <w:pStyle w:val="Normal"/>
        <w:widowControl/>
        <w:spacing w:lineRule="exact" w:line="400" w:before="0" w:after="0"/>
        <w:ind w:left="982" w:right="0" w:hanging="598"/>
        <w:rPr/>
      </w:pPr>
      <w:r>
        <w:rPr/>
        <w:t xml:space="preserve">            </w:t>
      </w:r>
      <w:r>
        <w:rPr>
          <w:rFonts w:ascii="標楷體" w:hAnsi="標楷體" w:eastAsia="標楷體"/>
          <w:sz w:val="28"/>
          <w:szCs w:val="28"/>
        </w:rPr>
        <w:t>電話、水、電費率如調漲時，依實際調漲計費。</w:t>
      </w:r>
    </w:p>
    <w:p>
      <w:pPr>
        <w:pStyle w:val="Normal"/>
        <w:widowControl/>
        <w:snapToGrid w:val="false"/>
        <w:spacing w:lineRule="exact" w:line="400" w:before="0" w:after="0"/>
        <w:rPr/>
      </w:pPr>
      <w:r>
        <w:rPr>
          <w:rFonts w:ascii="標楷體" w:hAnsi="標楷體" w:eastAsia="標楷體"/>
          <w:sz w:val="28"/>
          <w:szCs w:val="28"/>
        </w:rPr>
        <w:t xml:space="preserve">   </w:t>
      </w:r>
      <w:r>
        <w:rPr>
          <w:rFonts w:ascii="標楷體" w:hAnsi="標楷體" w:eastAsia="標楷體"/>
          <w:sz w:val="28"/>
          <w:szCs w:val="28"/>
        </w:rPr>
        <w:t>（</w:t>
      </w:r>
      <w:r>
        <w:rPr>
          <w:rFonts w:eastAsia="標楷體" w:ascii="標楷體" w:hAnsi="標楷體"/>
          <w:sz w:val="28"/>
          <w:szCs w:val="28"/>
        </w:rPr>
        <w:t>3</w:t>
      </w:r>
      <w:r>
        <w:rPr>
          <w:rFonts w:ascii="標楷體" w:hAnsi="標楷體" w:eastAsia="標楷體"/>
          <w:sz w:val="28"/>
          <w:szCs w:val="28"/>
        </w:rPr>
        <w:t>）</w:t>
      </w:r>
      <w:r>
        <w:rPr>
          <w:rFonts w:ascii="標楷體" w:hAnsi="標楷體" w:eastAsia="標楷體"/>
          <w:b/>
          <w:sz w:val="28"/>
          <w:szCs w:val="28"/>
        </w:rPr>
        <w:t>本租賃標的依消防法規不得使用明火。</w:t>
      </w:r>
    </w:p>
    <w:p>
      <w:pPr>
        <w:pStyle w:val="BodyText"/>
        <w:spacing w:lineRule="exact" w:line="400" w:before="0" w:after="0"/>
        <w:ind w:left="337" w:right="4544" w:hanging="281"/>
        <w:rPr/>
      </w:pPr>
      <w:r>
        <w:rPr>
          <w:rFonts w:eastAsia="標楷體"/>
        </w:rPr>
        <w:t>十</w:t>
      </w:r>
      <w:r>
        <w:rPr>
          <w:rFonts w:ascii="標楷體" w:hAnsi="標楷體" w:eastAsia="標楷體"/>
          <w:spacing w:val="-2"/>
          <w:sz w:val="28"/>
          <w:szCs w:val="28"/>
        </w:rPr>
        <w:t>、簡報及詢答：請參閱評審須知規定。</w:t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spacing w:lineRule="exact" w:line="400" w:before="0" w:after="0"/>
        <w:ind w:left="337" w:right="4544" w:hanging="281"/>
        <w:rPr>
          <w:rFonts w:ascii="標楷體" w:hAnsi="標楷體" w:eastAsia="標楷體"/>
          <w:spacing w:val="-2"/>
          <w:sz w:val="28"/>
          <w:szCs w:val="28"/>
        </w:rPr>
      </w:pPr>
      <w:r>
        <w:rPr/>
      </w:r>
    </w:p>
    <w:p>
      <w:pPr>
        <w:pStyle w:val="BodyText"/>
        <w:widowControl w:val="false"/>
        <w:suppressAutoHyphens w:val="true"/>
        <w:bidi w:val="0"/>
        <w:spacing w:lineRule="exact" w:line="400" w:before="0" w:after="0"/>
        <w:ind w:left="0" w:right="-57" w:hanging="0"/>
        <w:jc w:val="center"/>
        <w:rPr/>
      </w:pPr>
      <w:r>
        <w:rPr>
          <w:rFonts w:ascii="標楷體" w:hAnsi="標楷體" w:eastAsia="標楷體"/>
          <w:spacing w:val="-2"/>
          <w:sz w:val="28"/>
          <w:szCs w:val="28"/>
        </w:rPr>
        <w:t xml:space="preserve"> </w:t>
      </w:r>
      <w:r>
        <w:rPr>
          <w:rFonts w:ascii="標楷體" w:hAnsi="標楷體" w:eastAsia="標楷體"/>
          <w:b/>
          <w:color w:val="000000"/>
          <w:spacing w:val="-2"/>
          <w:sz w:val="36"/>
          <w:szCs w:val="36"/>
        </w:rPr>
        <w:t>板橋榮家福利中心場地出租公開標租案</w:t>
      </w:r>
    </w:p>
    <w:p>
      <w:pPr>
        <w:pStyle w:val="Normal"/>
        <w:snapToGrid w:val="false"/>
        <w:spacing w:lineRule="atLeast" w:line="240"/>
        <w:jc w:val="center"/>
        <w:rPr>
          <w:rFonts w:ascii="標楷體" w:hAnsi="標楷體" w:eastAsia="標楷體"/>
          <w:color w:val="000000"/>
        </w:rPr>
      </w:pPr>
      <w:r>
        <w:rPr>
          <w:rFonts w:eastAsia="標楷體" w:ascii="標楷體" w:hAnsi="標楷體"/>
          <w:b/>
          <w:color w:val="000000"/>
          <w:sz w:val="36"/>
          <w:szCs w:val="36"/>
        </w:rPr>
        <w:t>(</w:t>
      </w:r>
      <w:r>
        <w:rPr>
          <w:rFonts w:ascii="標楷體" w:hAnsi="標楷體" w:eastAsia="標楷體"/>
          <w:b/>
          <w:color w:val="000000"/>
          <w:sz w:val="36"/>
          <w:szCs w:val="36"/>
        </w:rPr>
        <w:t>案號：</w:t>
      </w:r>
      <w:r>
        <w:rPr>
          <w:rFonts w:eastAsia="標楷體" w:ascii="標楷體" w:hAnsi="標楷體"/>
          <w:b/>
          <w:color w:val="000000"/>
          <w:sz w:val="36"/>
          <w:szCs w:val="36"/>
        </w:rPr>
        <w:t>115-0009</w:t>
      </w:r>
      <w:r>
        <w:rPr>
          <w:rFonts w:eastAsia="標楷體" w:ascii="標楷體" w:hAnsi="標楷體"/>
          <w:b/>
          <w:color w:val="000000"/>
          <w:sz w:val="36"/>
          <w:szCs w:val="36"/>
        </w:rPr>
        <w:t xml:space="preserve">) </w:t>
      </w:r>
      <w:r>
        <w:rPr>
          <w:rFonts w:eastAsia="標楷體" w:ascii="標楷體" w:hAnsi="標楷體"/>
          <w:b/>
          <w:color w:val="000000"/>
          <w:sz w:val="36"/>
          <w:szCs w:val="36"/>
        </w:rPr>
        <w:t xml:space="preserve"> </w:t>
      </w:r>
    </w:p>
    <w:p>
      <w:pPr>
        <w:pStyle w:val="Normal"/>
        <w:snapToGrid w:val="false"/>
        <w:spacing w:lineRule="atLeast" w:line="240"/>
        <w:jc w:val="center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b/>
          <w:color w:val="000000"/>
          <w:sz w:val="36"/>
          <w:szCs w:val="36"/>
        </w:rPr>
        <w:t>評審須知</w:t>
      </w:r>
    </w:p>
    <w:p>
      <w:pPr>
        <w:pStyle w:val="Normal"/>
        <w:numPr>
          <w:ilvl w:val="0"/>
          <w:numId w:val="0"/>
        </w:numPr>
        <w:spacing w:lineRule="exact" w:line="420" w:before="435" w:after="0"/>
        <w:ind w:hanging="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</w:rPr>
        <w:t xml:space="preserve">    </w:t>
      </w:r>
      <w:r>
        <w:rPr>
          <w:rFonts w:ascii="標楷體" w:hAnsi="標楷體" w:eastAsia="標楷體"/>
          <w:color w:val="000000"/>
          <w:sz w:val="28"/>
          <w:szCs w:val="28"/>
        </w:rPr>
        <w:t>一</w:t>
      </w:r>
      <w:r>
        <w:rPr>
          <w:rFonts w:ascii="標楷體" w:hAnsi="標楷體" w:eastAsia="標楷體"/>
          <w:color w:val="000000"/>
          <w:sz w:val="28"/>
          <w:szCs w:val="28"/>
        </w:rPr>
        <w:t>、</w:t>
      </w:r>
      <w:r>
        <w:rPr>
          <w:rFonts w:ascii="標楷體" w:hAnsi="標楷體" w:eastAsia="標楷體"/>
          <w:color w:val="000000"/>
          <w:sz w:val="28"/>
          <w:szCs w:val="28"/>
        </w:rPr>
        <w:t>評審小組：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一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 xml:space="preserve">由板橋榮譽國民之家 </w:t>
      </w:r>
      <w:r>
        <w:rPr>
          <w:rFonts w:eastAsia="標楷體" w:ascii="標楷體" w:hAnsi="標楷體"/>
          <w:color w:val="000000"/>
          <w:sz w:val="24"/>
        </w:rPr>
        <w:t>(</w:t>
      </w:r>
      <w:r>
        <w:rPr>
          <w:rFonts w:ascii="標楷體" w:hAnsi="標楷體" w:eastAsia="標楷體"/>
          <w:color w:val="000000"/>
          <w:sz w:val="24"/>
        </w:rPr>
        <w:t>以下簡稱本家</w:t>
      </w:r>
      <w:r>
        <w:rPr>
          <w:rFonts w:eastAsia="標楷體" w:ascii="標楷體" w:hAnsi="標楷體"/>
          <w:color w:val="000000"/>
          <w:sz w:val="24"/>
        </w:rPr>
        <w:t>)</w:t>
      </w:r>
      <w:r>
        <w:rPr>
          <w:rFonts w:ascii="標楷體" w:hAnsi="標楷體" w:eastAsia="標楷體"/>
          <w:color w:val="000000"/>
          <w:sz w:val="24"/>
        </w:rPr>
        <w:t>有關單位代表組成評審小組，置召集人一人，綜理評審事宜，於完成評審相關事宜後解散，其職掌如下：</w:t>
      </w:r>
    </w:p>
    <w:p>
      <w:pPr>
        <w:pStyle w:val="Normal"/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>１</w:t>
      </w:r>
      <w:r>
        <w:rPr>
          <w:rFonts w:eastAsia="標楷體" w:ascii="標楷體" w:hAnsi="標楷體"/>
          <w:color w:val="000000"/>
          <w:sz w:val="24"/>
          <w:szCs w:val="24"/>
        </w:rPr>
        <w:t>.</w:t>
      </w:r>
      <w:r>
        <w:rPr>
          <w:rFonts w:ascii="標楷體" w:hAnsi="標楷體" w:eastAsia="標楷體"/>
          <w:color w:val="000000"/>
          <w:sz w:val="24"/>
          <w:szCs w:val="24"/>
        </w:rPr>
        <w:t>辦理廠商評審。</w:t>
      </w:r>
    </w:p>
    <w:p>
      <w:pPr>
        <w:pStyle w:val="Normal"/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>２</w:t>
      </w:r>
      <w:r>
        <w:rPr>
          <w:rFonts w:eastAsia="標楷體" w:ascii="標楷體" w:hAnsi="標楷體"/>
          <w:color w:val="000000"/>
          <w:sz w:val="24"/>
          <w:szCs w:val="24"/>
        </w:rPr>
        <w:t>.</w:t>
      </w:r>
      <w:r>
        <w:rPr>
          <w:rFonts w:ascii="標楷體" w:hAnsi="標楷體" w:eastAsia="標楷體"/>
          <w:color w:val="000000"/>
          <w:sz w:val="24"/>
          <w:szCs w:val="24"/>
        </w:rPr>
        <w:t>協助機關解釋與評審標準、評審過程或評審結果有關之事項。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二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>本委員會成立時，</w:t>
      </w:r>
      <w:r>
        <w:rPr>
          <w:rFonts w:ascii="標楷體" w:hAnsi="標楷體" w:eastAsia="標楷體"/>
          <w:color w:val="000000"/>
          <w:sz w:val="24"/>
        </w:rPr>
        <w:t>免成立工作小組，由主辦單位協助本委員會辦理與評審有關之作業。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</w:rPr>
      </w:pPr>
      <w:r>
        <w:rPr>
          <w:rFonts w:eastAsia="標楷體" w:ascii="標楷體" w:hAnsi="標楷體"/>
          <w:color w:val="000000"/>
          <w:sz w:val="24"/>
        </w:rPr>
        <w:t>(</w:t>
      </w:r>
      <w:r>
        <w:rPr>
          <w:rFonts w:ascii="標楷體" w:hAnsi="標楷體" w:eastAsia="標楷體"/>
          <w:color w:val="000000"/>
          <w:sz w:val="24"/>
        </w:rPr>
        <w:t>三</w:t>
      </w:r>
      <w:r>
        <w:rPr>
          <w:rFonts w:eastAsia="標楷體" w:ascii="標楷體" w:hAnsi="標楷體"/>
          <w:color w:val="000000"/>
          <w:sz w:val="24"/>
        </w:rPr>
        <w:t>)</w:t>
      </w:r>
      <w:r>
        <w:rPr>
          <w:rFonts w:ascii="標楷體" w:hAnsi="標楷體" w:eastAsia="標楷體"/>
          <w:color w:val="000000"/>
          <w:sz w:val="24"/>
        </w:rPr>
        <w:t>參加本案徵選廠商之委員若有「政府採購法」之「採購評審委員會審議規則」第</w:t>
      </w:r>
      <w:r>
        <w:rPr>
          <w:rFonts w:eastAsia="標楷體" w:ascii="標楷體" w:hAnsi="標楷體"/>
          <w:color w:val="000000"/>
          <w:sz w:val="24"/>
        </w:rPr>
        <w:t>14</w:t>
      </w:r>
      <w:r>
        <w:rPr>
          <w:rFonts w:ascii="標楷體" w:hAnsi="標楷體" w:eastAsia="標楷體"/>
          <w:color w:val="000000"/>
          <w:sz w:val="24"/>
        </w:rPr>
        <w:t>條所列舉之情形之一者不得擔任評審委員。</w:t>
      </w:r>
    </w:p>
    <w:p>
      <w:pPr>
        <w:pStyle w:val="Normal"/>
        <w:numPr>
          <w:ilvl w:val="0"/>
          <w:numId w:val="0"/>
        </w:numPr>
        <w:spacing w:lineRule="exact" w:line="420"/>
        <w:ind w:left="480" w:hanging="0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ascii="標楷體" w:hAnsi="標楷體" w:eastAsia="標楷體"/>
          <w:color w:val="000000"/>
          <w:sz w:val="28"/>
          <w:szCs w:val="28"/>
        </w:rPr>
        <w:t>二</w:t>
      </w:r>
      <w:r>
        <w:rPr>
          <w:rFonts w:ascii="標楷體" w:hAnsi="標楷體" w:eastAsia="標楷體"/>
          <w:color w:val="000000"/>
          <w:sz w:val="28"/>
          <w:szCs w:val="28"/>
        </w:rPr>
        <w:t>、</w:t>
      </w:r>
      <w:r>
        <w:rPr>
          <w:rFonts w:ascii="標楷體" w:hAnsi="標楷體" w:eastAsia="標楷體"/>
          <w:color w:val="000000"/>
          <w:sz w:val="28"/>
          <w:szCs w:val="28"/>
        </w:rPr>
        <w:t>評審會議：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一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 xml:space="preserve">時間地點：  </w:t>
      </w:r>
      <w:r>
        <w:rPr>
          <w:rFonts w:ascii="標楷體" w:hAnsi="標楷體" w:eastAsia="標楷體"/>
          <w:color w:val="000000"/>
          <w:sz w:val="24"/>
          <w:szCs w:val="24"/>
        </w:rPr>
        <w:t>年  月  日（星期四）下午</w:t>
      </w:r>
      <w:r>
        <w:rPr>
          <w:rFonts w:eastAsia="標楷體" w:ascii="標楷體" w:hAnsi="標楷體"/>
          <w:color w:val="000000"/>
          <w:sz w:val="24"/>
          <w:szCs w:val="24"/>
        </w:rPr>
        <w:t>14</w:t>
      </w:r>
      <w:r>
        <w:rPr>
          <w:rFonts w:ascii="標楷體" w:hAnsi="標楷體" w:eastAsia="標楷體"/>
          <w:color w:val="000000"/>
          <w:sz w:val="24"/>
          <w:szCs w:val="24"/>
        </w:rPr>
        <w:t>時整</w:t>
      </w:r>
      <w:r>
        <w:rPr>
          <w:rFonts w:ascii="標楷體" w:hAnsi="標楷體" w:eastAsia="標楷體"/>
          <w:color w:val="000000"/>
          <w:sz w:val="24"/>
          <w:szCs w:val="24"/>
        </w:rPr>
        <w:t>，本家行政大樓</w:t>
      </w:r>
      <w:r>
        <w:rPr>
          <w:rFonts w:eastAsia="標楷體" w:ascii="標楷體" w:hAnsi="標楷體"/>
          <w:color w:val="000000"/>
          <w:sz w:val="24"/>
          <w:szCs w:val="24"/>
        </w:rPr>
        <w:t>2</w:t>
      </w:r>
      <w:r>
        <w:rPr>
          <w:rFonts w:ascii="標楷體" w:hAnsi="標楷體" w:eastAsia="標楷體"/>
          <w:color w:val="000000"/>
          <w:sz w:val="24"/>
          <w:szCs w:val="24"/>
        </w:rPr>
        <w:t>樓第二會議室。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二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>會議主持人：</w:t>
      </w:r>
      <w:r>
        <w:rPr>
          <w:rFonts w:ascii="標楷體" w:hAnsi="標楷體" w:eastAsia="標楷體"/>
          <w:color w:val="000000"/>
          <w:sz w:val="24"/>
          <w:szCs w:val="24"/>
        </w:rPr>
        <w:t>由評審小組召集人擔任。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三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>出席人員：</w:t>
      </w:r>
      <w:r>
        <w:rPr>
          <w:rFonts w:ascii="標楷體" w:hAnsi="標楷體" w:eastAsia="標楷體"/>
          <w:color w:val="000000"/>
          <w:sz w:val="24"/>
          <w:szCs w:val="24"/>
        </w:rPr>
        <w:t>評審小組。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四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>列席單位：主辦單位等。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五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>會議主題：評審本案廠商。</w:t>
      </w:r>
    </w:p>
    <w:p>
      <w:pPr>
        <w:pStyle w:val="Normal"/>
        <w:spacing w:lineRule="exact" w:line="420" w:before="217" w:after="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</w:rPr>
        <w:t xml:space="preserve">   </w:t>
      </w:r>
      <w:r>
        <w:rPr>
          <w:rFonts w:ascii="標楷體" w:hAnsi="標楷體" w:eastAsia="標楷體"/>
          <w:color w:val="000000"/>
          <w:sz w:val="28"/>
          <w:szCs w:val="28"/>
        </w:rPr>
        <w:t>三、評審項目</w:t>
      </w:r>
      <w:r>
        <w:rPr>
          <w:rFonts w:ascii="標楷體" w:hAnsi="標楷體" w:eastAsia="標楷體"/>
          <w:color w:val="000000"/>
          <w:sz w:val="28"/>
          <w:szCs w:val="28"/>
        </w:rPr>
        <w:t>：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一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b/>
          <w:color w:val="000000"/>
          <w:sz w:val="24"/>
          <w:szCs w:val="24"/>
        </w:rPr>
        <w:t>投標廠商簡介及履約能力</w:t>
      </w:r>
      <w:r>
        <w:rPr>
          <w:rFonts w:eastAsia="標楷體" w:ascii="標楷體" w:hAnsi="標楷體"/>
          <w:b/>
          <w:color w:val="000000"/>
          <w:sz w:val="24"/>
          <w:szCs w:val="24"/>
        </w:rPr>
        <w:t>--</w:t>
      </w:r>
      <w:r>
        <w:rPr>
          <w:rFonts w:ascii="標楷體" w:hAnsi="標楷體" w:eastAsia="標楷體"/>
          <w:b/>
          <w:color w:val="000000"/>
          <w:sz w:val="24"/>
          <w:szCs w:val="24"/>
        </w:rPr>
        <w:t>配分</w:t>
      </w:r>
      <w:r>
        <w:rPr>
          <w:rFonts w:eastAsia="標楷體" w:ascii="標楷體" w:hAnsi="標楷體"/>
          <w:b/>
          <w:color w:val="000000"/>
          <w:sz w:val="24"/>
          <w:szCs w:val="24"/>
        </w:rPr>
        <w:t>30</w:t>
      </w:r>
      <w:r>
        <w:rPr>
          <w:rFonts w:ascii="標楷體" w:hAnsi="標楷體" w:eastAsia="標楷體"/>
          <w:b/>
          <w:color w:val="000000"/>
          <w:sz w:val="24"/>
          <w:szCs w:val="24"/>
        </w:rPr>
        <w:t>分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       </w:t>
      </w:r>
      <w:r>
        <w:rPr>
          <w:rFonts w:eastAsia="標楷體" w:ascii="標楷體" w:hAnsi="標楷體"/>
          <w:color w:val="000000"/>
          <w:sz w:val="24"/>
          <w:szCs w:val="24"/>
        </w:rPr>
        <w:t>1.</w:t>
      </w:r>
      <w:r>
        <w:rPr>
          <w:rFonts w:ascii="標楷體" w:hAnsi="標楷體" w:eastAsia="標楷體"/>
          <w:color w:val="000000"/>
          <w:sz w:val="24"/>
          <w:szCs w:val="24"/>
        </w:rPr>
        <w:t>基本資料：【含公司規模、年營業額、員工人數、人員編制和人員素質等】。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       </w:t>
      </w:r>
      <w:r>
        <w:rPr>
          <w:rFonts w:eastAsia="標楷體" w:ascii="標楷體" w:hAnsi="標楷體"/>
          <w:color w:val="000000"/>
          <w:sz w:val="24"/>
          <w:szCs w:val="24"/>
        </w:rPr>
        <w:t>2.</w:t>
      </w:r>
      <w:r>
        <w:rPr>
          <w:rFonts w:ascii="標楷體" w:hAnsi="標楷體" w:eastAsia="標楷體"/>
          <w:color w:val="000000"/>
          <w:sz w:val="24"/>
          <w:szCs w:val="24"/>
        </w:rPr>
        <w:t>人員相關教育訓練【含人員招募計劃、年度教育訓練等】。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       </w:t>
      </w:r>
      <w:r>
        <w:rPr>
          <w:rFonts w:eastAsia="標楷體" w:ascii="標楷體" w:hAnsi="標楷體"/>
          <w:color w:val="000000"/>
          <w:sz w:val="24"/>
          <w:szCs w:val="24"/>
        </w:rPr>
        <w:t>3.</w:t>
      </w:r>
      <w:r>
        <w:rPr>
          <w:rFonts w:ascii="標楷體" w:hAnsi="標楷體" w:eastAsia="標楷體"/>
          <w:color w:val="000000"/>
          <w:sz w:val="24"/>
          <w:szCs w:val="24"/>
        </w:rPr>
        <w:t>履約實績：【其他經營據點之介紹、過去業績】。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二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b/>
          <w:color w:val="000000"/>
          <w:sz w:val="24"/>
          <w:szCs w:val="24"/>
        </w:rPr>
        <w:t>設計施工與營運規劃能力—配分</w:t>
      </w:r>
      <w:r>
        <w:rPr>
          <w:rFonts w:eastAsia="標楷體" w:ascii="標楷體" w:hAnsi="標楷體"/>
          <w:b/>
          <w:color w:val="000000"/>
          <w:sz w:val="24"/>
          <w:szCs w:val="24"/>
        </w:rPr>
        <w:t>45</w:t>
      </w:r>
      <w:r>
        <w:rPr>
          <w:rFonts w:ascii="標楷體" w:hAnsi="標楷體" w:eastAsia="標楷體"/>
          <w:b/>
          <w:color w:val="000000"/>
          <w:sz w:val="24"/>
          <w:szCs w:val="24"/>
        </w:rPr>
        <w:t>分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       </w:t>
      </w:r>
      <w:r>
        <w:rPr>
          <w:rFonts w:eastAsia="標楷體" w:ascii="標楷體" w:hAnsi="標楷體"/>
          <w:color w:val="000000"/>
          <w:sz w:val="24"/>
          <w:szCs w:val="24"/>
        </w:rPr>
        <w:t>1.</w:t>
      </w:r>
      <w:r>
        <w:rPr>
          <w:rFonts w:ascii="標楷體" w:hAnsi="標楷體" w:eastAsia="標楷體"/>
          <w:color w:val="000000"/>
          <w:sz w:val="24"/>
          <w:szCs w:val="24"/>
        </w:rPr>
        <w:t>空間配置及景觀布置設計。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left="958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</w:t>
      </w:r>
      <w:r>
        <w:rPr>
          <w:rFonts w:eastAsia="標楷體" w:ascii="標楷體" w:hAnsi="標楷體"/>
          <w:color w:val="000000"/>
          <w:sz w:val="24"/>
          <w:szCs w:val="24"/>
        </w:rPr>
        <w:t>2.</w:t>
      </w:r>
      <w:r>
        <w:rPr>
          <w:rFonts w:ascii="標楷體" w:hAnsi="標楷體" w:eastAsia="標楷體"/>
          <w:color w:val="000000"/>
          <w:sz w:val="24"/>
          <w:szCs w:val="24"/>
        </w:rPr>
        <w:t xml:space="preserve">營運計畫【含經營理念、營業服務項目、營業時間、營運管理、服務品質之管制及   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left="958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</w:t>
      </w:r>
      <w:r>
        <w:rPr>
          <w:rFonts w:ascii="標楷體" w:hAnsi="標楷體" w:eastAsia="標楷體"/>
          <w:color w:val="000000"/>
          <w:sz w:val="24"/>
          <w:szCs w:val="24"/>
        </w:rPr>
        <w:t>行銷活動等】。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left="958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</w:t>
      </w:r>
      <w:r>
        <w:rPr>
          <w:rFonts w:eastAsia="標楷體" w:ascii="標楷體" w:hAnsi="標楷體"/>
          <w:color w:val="000000"/>
          <w:sz w:val="24"/>
          <w:szCs w:val="24"/>
        </w:rPr>
        <w:t>3.</w:t>
      </w:r>
      <w:r>
        <w:rPr>
          <w:rFonts w:ascii="標楷體" w:hAnsi="標楷體" w:eastAsia="標楷體"/>
          <w:color w:val="000000"/>
          <w:sz w:val="24"/>
          <w:szCs w:val="24"/>
        </w:rPr>
        <w:t>公共安全衛生管理【含軟體、硬體設施管理及緊急應變措施</w:t>
      </w: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如：火災、地震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>及保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left="958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</w:t>
      </w:r>
      <w:r>
        <w:rPr>
          <w:rFonts w:ascii="標楷體" w:hAnsi="標楷體" w:eastAsia="標楷體"/>
          <w:color w:val="000000"/>
          <w:sz w:val="24"/>
          <w:szCs w:val="24"/>
        </w:rPr>
        <w:t>險</w:t>
      </w: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含火險、公共意外險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 xml:space="preserve">等】。 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       </w:t>
      </w:r>
      <w:r>
        <w:rPr>
          <w:rFonts w:eastAsia="標楷體" w:ascii="標楷體" w:hAnsi="標楷體"/>
          <w:color w:val="000000"/>
          <w:sz w:val="24"/>
          <w:szCs w:val="24"/>
        </w:rPr>
        <w:t>4.</w:t>
      </w:r>
      <w:r>
        <w:rPr>
          <w:rFonts w:ascii="標楷體" w:hAnsi="標楷體" w:eastAsia="標楷體"/>
          <w:color w:val="000000"/>
          <w:sz w:val="24"/>
          <w:szCs w:val="24"/>
        </w:rPr>
        <w:t>人力配置計畫。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       </w:t>
      </w:r>
      <w:r>
        <w:rPr>
          <w:rFonts w:eastAsia="標楷體" w:ascii="標楷體" w:hAnsi="標楷體"/>
          <w:color w:val="000000"/>
          <w:sz w:val="24"/>
          <w:szCs w:val="24"/>
        </w:rPr>
        <w:t>5.</w:t>
      </w:r>
      <w:r>
        <w:rPr>
          <w:rFonts w:ascii="標楷體" w:hAnsi="標楷體" w:eastAsia="標楷體"/>
          <w:color w:val="000000"/>
          <w:sz w:val="24"/>
          <w:szCs w:val="24"/>
        </w:rPr>
        <w:t>顧客滿意管理【含客訴處理流程】。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       </w:t>
      </w:r>
      <w:r>
        <w:rPr>
          <w:rFonts w:eastAsia="標楷體" w:ascii="標楷體" w:hAnsi="標楷體"/>
          <w:color w:val="000000"/>
          <w:sz w:val="24"/>
          <w:szCs w:val="24"/>
        </w:rPr>
        <w:t>6.</w:t>
      </w:r>
      <w:r>
        <w:rPr>
          <w:rFonts w:ascii="標楷體" w:hAnsi="標楷體" w:eastAsia="標楷體"/>
          <w:color w:val="000000"/>
          <w:sz w:val="24"/>
          <w:szCs w:val="24"/>
        </w:rPr>
        <w:t>其他：如水電表設置、電信及電力系統及相關排水系統設定之規劃。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三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b/>
          <w:color w:val="000000"/>
          <w:sz w:val="24"/>
          <w:szCs w:val="24"/>
        </w:rPr>
        <w:t>回饋與創新服務—配分</w:t>
      </w:r>
      <w:r>
        <w:rPr>
          <w:rFonts w:eastAsia="標楷體" w:ascii="標楷體" w:hAnsi="標楷體"/>
          <w:b/>
          <w:color w:val="000000"/>
          <w:sz w:val="24"/>
          <w:szCs w:val="24"/>
        </w:rPr>
        <w:t>15</w:t>
      </w:r>
      <w:r>
        <w:rPr>
          <w:rFonts w:ascii="標楷體" w:hAnsi="標楷體" w:eastAsia="標楷體"/>
          <w:b/>
          <w:color w:val="000000"/>
          <w:sz w:val="24"/>
          <w:szCs w:val="24"/>
        </w:rPr>
        <w:t>分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left="958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</w:t>
      </w:r>
      <w:r>
        <w:rPr>
          <w:rFonts w:eastAsia="標楷體" w:ascii="標楷體" w:hAnsi="標楷體"/>
          <w:color w:val="000000"/>
          <w:sz w:val="24"/>
          <w:szCs w:val="24"/>
        </w:rPr>
        <w:t>1.</w:t>
      </w:r>
      <w:r>
        <w:rPr>
          <w:rFonts w:ascii="標楷體" w:hAnsi="標楷體" w:eastAsia="標楷體"/>
          <w:color w:val="000000"/>
          <w:sz w:val="24"/>
          <w:szCs w:val="24"/>
        </w:rPr>
        <w:t>其他有利於提升服務之具體方案、優惠方案或</w:t>
      </w:r>
      <w:r>
        <w:rPr>
          <w:rFonts w:ascii="標楷體" w:hAnsi="標楷體" w:cs="Arial" w:eastAsia="標楷體"/>
          <w:color w:val="000000"/>
          <w:sz w:val="24"/>
          <w:szCs w:val="24"/>
        </w:rPr>
        <w:t xml:space="preserve">回饋方案【由廠商自行提出構想或方 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left="958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 </w:t>
      </w:r>
      <w:r>
        <w:rPr>
          <w:rFonts w:ascii="標楷體" w:hAnsi="標楷體" w:cs="Arial" w:eastAsia="標楷體"/>
          <w:color w:val="000000"/>
          <w:sz w:val="24"/>
          <w:szCs w:val="24"/>
        </w:rPr>
        <w:t>案，例如：</w:t>
      </w:r>
      <w:r>
        <w:rPr>
          <w:rFonts w:ascii="標楷體" w:hAnsi="標楷體" w:eastAsia="標楷體"/>
          <w:color w:val="000000"/>
          <w:sz w:val="24"/>
          <w:szCs w:val="24"/>
        </w:rPr>
        <w:t>場地設備投資</w:t>
      </w:r>
      <w:r>
        <w:rPr>
          <w:rFonts w:ascii="標楷體" w:hAnsi="標楷體" w:cs="Arial" w:eastAsia="標楷體"/>
          <w:color w:val="000000"/>
          <w:sz w:val="24"/>
          <w:szCs w:val="24"/>
        </w:rPr>
        <w:t>、家區環境認養或改善、</w:t>
      </w:r>
      <w:r>
        <w:rPr>
          <w:rFonts w:ascii="標楷體" w:hAnsi="標楷體" w:cs="Arial" w:eastAsia="標楷體"/>
          <w:b/>
          <w:color w:val="000000"/>
          <w:sz w:val="24"/>
          <w:szCs w:val="24"/>
        </w:rPr>
        <w:t>優惠住民及職員工便利服務等</w:t>
      </w:r>
      <w:r>
        <w:rPr>
          <w:rFonts w:ascii="標楷體" w:hAnsi="標楷體" w:cs="Arial" w:eastAsia="標楷體"/>
          <w:color w:val="000000"/>
          <w:sz w:val="24"/>
          <w:szCs w:val="24"/>
        </w:rPr>
        <w:t xml:space="preserve">， 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ind w:left="958" w:hanging="0"/>
        <w:rPr>
          <w:rFonts w:ascii="標楷體" w:hAnsi="標楷體" w:eastAsia="標楷體"/>
          <w:color w:val="000000"/>
          <w:sz w:val="24"/>
          <w:szCs w:val="24"/>
        </w:rPr>
      </w:pPr>
      <w:r>
        <w:rPr>
          <w:rFonts w:ascii="標楷體" w:hAnsi="標楷體" w:eastAsia="標楷體"/>
          <w:color w:val="000000"/>
          <w:sz w:val="24"/>
          <w:szCs w:val="24"/>
        </w:rPr>
        <w:t xml:space="preserve">    </w:t>
      </w:r>
      <w:r>
        <w:rPr>
          <w:rFonts w:ascii="標楷體" w:hAnsi="標楷體" w:cs="Arial" w:eastAsia="標楷體"/>
          <w:color w:val="000000"/>
          <w:sz w:val="24"/>
          <w:szCs w:val="24"/>
        </w:rPr>
        <w:t>並詳載於經營企劃書內】。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spacing w:lineRule="exact" w:line="420"/>
        <w:ind w:left="916" w:hanging="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</w:rPr>
        <w:t xml:space="preserve">  </w:t>
      </w:r>
      <w:r>
        <w:rPr>
          <w:rFonts w:eastAsia="標楷體" w:ascii="標楷體" w:hAnsi="標楷體"/>
          <w:color w:val="000000"/>
          <w:sz w:val="24"/>
          <w:szCs w:val="24"/>
        </w:rPr>
        <w:t>2.</w:t>
      </w:r>
      <w:r>
        <w:rPr>
          <w:rFonts w:ascii="標楷體" w:hAnsi="標楷體" w:eastAsia="標楷體"/>
          <w:color w:val="000000"/>
          <w:sz w:val="24"/>
          <w:szCs w:val="24"/>
        </w:rPr>
        <w:t>說明將如何規劃配合本家節能措施【因應政府節能減碳、限制使用環保餐具及資源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spacing w:lineRule="exact" w:line="420"/>
        <w:ind w:left="916" w:hanging="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</w:rPr>
        <w:t xml:space="preserve">   </w:t>
      </w:r>
      <w:r>
        <w:rPr>
          <w:rFonts w:ascii="標楷體" w:hAnsi="標楷體" w:eastAsia="標楷體"/>
          <w:color w:val="000000"/>
          <w:sz w:val="24"/>
          <w:szCs w:val="24"/>
        </w:rPr>
        <w:t>回收等政策，本家僅提供場地，環保餐具、清潔消毒、廢棄物處置作業及環境污染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spacing w:lineRule="exact" w:line="420"/>
        <w:ind w:left="916" w:hanging="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</w:rPr>
        <w:t xml:space="preserve">   </w:t>
      </w:r>
      <w:r>
        <w:rPr>
          <w:rFonts w:ascii="標楷體" w:hAnsi="標楷體" w:eastAsia="標楷體"/>
          <w:color w:val="000000"/>
          <w:sz w:val="24"/>
          <w:szCs w:val="24"/>
        </w:rPr>
        <w:t>預</w:t>
      </w:r>
      <w:r>
        <w:rPr>
          <w:rFonts w:ascii="標楷體" w:hAnsi="標楷體" w:eastAsia="標楷體"/>
          <w:color w:val="000000"/>
          <w:sz w:val="24"/>
        </w:rPr>
        <w:t>防等措施概由廠商負責】。</w:t>
      </w:r>
    </w:p>
    <w:p>
      <w:pPr>
        <w:pStyle w:val="Normal"/>
        <w:numPr>
          <w:ilvl w:val="0"/>
          <w:numId w:val="0"/>
        </w:numPr>
        <w:spacing w:lineRule="exact" w:line="420"/>
        <w:ind w:left="1200" w:hanging="0"/>
        <w:rPr>
          <w:rFonts w:ascii="標楷體" w:hAnsi="標楷體" w:eastAsia="標楷體"/>
          <w:color w:val="000000"/>
        </w:rPr>
      </w:pP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四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b/>
          <w:color w:val="000000"/>
          <w:sz w:val="24"/>
          <w:szCs w:val="24"/>
        </w:rPr>
        <w:t>簡報及詢答</w:t>
      </w:r>
      <w:r>
        <w:rPr>
          <w:rFonts w:ascii="標楷體" w:hAnsi="標楷體" w:eastAsia="標楷體"/>
          <w:b/>
          <w:color w:val="000000"/>
          <w:sz w:val="24"/>
        </w:rPr>
        <w:t>（</w:t>
      </w:r>
      <w:r>
        <w:rPr>
          <w:rFonts w:ascii="標楷體" w:hAnsi="標楷體" w:eastAsia="標楷體"/>
          <w:b/>
          <w:bCs/>
          <w:color w:val="000000"/>
          <w:sz w:val="24"/>
        </w:rPr>
        <w:t>背景環境資料之認知、簡報製作及建議事項</w:t>
      </w:r>
      <w:r>
        <w:rPr>
          <w:rFonts w:ascii="標楷體" w:hAnsi="標楷體" w:eastAsia="標楷體"/>
          <w:b/>
          <w:color w:val="000000"/>
          <w:sz w:val="24"/>
        </w:rPr>
        <w:t>）配分</w:t>
      </w:r>
      <w:r>
        <w:rPr>
          <w:rFonts w:eastAsia="標楷體" w:ascii="標楷體" w:hAnsi="標楷體"/>
          <w:b/>
          <w:color w:val="000000"/>
          <w:sz w:val="24"/>
        </w:rPr>
        <w:t>10</w:t>
      </w:r>
      <w:r>
        <w:rPr>
          <w:rFonts w:ascii="標楷體" w:hAnsi="標楷體" w:eastAsia="標楷體"/>
          <w:b/>
          <w:color w:val="000000"/>
          <w:sz w:val="24"/>
        </w:rPr>
        <w:t>分</w:t>
      </w:r>
    </w:p>
    <w:p>
      <w:pPr>
        <w:pStyle w:val="Normal"/>
        <w:spacing w:lineRule="exact" w:line="420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ascii="標楷體" w:hAnsi="標楷體" w:eastAsia="標楷體"/>
          <w:color w:val="000000"/>
          <w:sz w:val="28"/>
          <w:szCs w:val="28"/>
        </w:rPr>
        <w:t xml:space="preserve">   </w:t>
      </w:r>
      <w:r>
        <w:rPr>
          <w:rFonts w:ascii="標楷體" w:hAnsi="標楷體" w:eastAsia="標楷體"/>
          <w:color w:val="000000"/>
          <w:sz w:val="28"/>
          <w:szCs w:val="28"/>
        </w:rPr>
        <w:t>四、評審方式</w:t>
      </w:r>
      <w:r>
        <w:rPr>
          <w:rFonts w:ascii="標楷體" w:hAnsi="標楷體" w:eastAsia="標楷體"/>
          <w:color w:val="000000"/>
          <w:sz w:val="28"/>
          <w:szCs w:val="28"/>
        </w:rPr>
        <w:t>：</w:t>
      </w:r>
    </w:p>
    <w:p>
      <w:pPr>
        <w:pStyle w:val="Normal"/>
        <w:spacing w:lineRule="exact" w:line="420"/>
        <w:ind w:left="1200" w:hanging="120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  <w:sz w:val="24"/>
        </w:rPr>
        <w:t xml:space="preserve">        </w:t>
      </w:r>
      <w:r>
        <w:rPr>
          <w:rFonts w:eastAsia="標楷體" w:ascii="標楷體" w:hAnsi="標楷體"/>
          <w:color w:val="000000"/>
          <w:sz w:val="24"/>
          <w:szCs w:val="24"/>
        </w:rPr>
        <w:t>(</w:t>
      </w:r>
      <w:r>
        <w:rPr>
          <w:rFonts w:ascii="標楷體" w:hAnsi="標楷體" w:eastAsia="標楷體"/>
          <w:color w:val="000000"/>
          <w:sz w:val="24"/>
          <w:szCs w:val="24"/>
        </w:rPr>
        <w:t>一</w:t>
      </w:r>
      <w:r>
        <w:rPr>
          <w:rFonts w:eastAsia="標楷體" w:ascii="標楷體" w:hAnsi="標楷體"/>
          <w:color w:val="000000"/>
          <w:sz w:val="24"/>
          <w:szCs w:val="24"/>
        </w:rPr>
        <w:t>)</w:t>
      </w:r>
      <w:r>
        <w:rPr>
          <w:rFonts w:ascii="標楷體" w:hAnsi="標楷體" w:eastAsia="標楷體"/>
          <w:color w:val="000000"/>
          <w:sz w:val="24"/>
          <w:szCs w:val="24"/>
        </w:rPr>
        <w:t>先由本評審主辦單位就受評審廠商是否完成資格登記、審查，及是否符合招標須知 規定事項作初步審查，經初審不合格者予以退件不列入評審作業，連同初審合格廠商資料送評審小組。</w:t>
      </w:r>
    </w:p>
    <w:p>
      <w:pPr>
        <w:pStyle w:val="Normal"/>
        <w:spacing w:lineRule="exact" w:line="420"/>
        <w:ind w:left="1200" w:hanging="120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  <w:sz w:val="24"/>
        </w:rPr>
        <w:t xml:space="preserve">       </w:t>
      </w:r>
      <w:r>
        <w:rPr>
          <w:rFonts w:ascii="標楷體" w:hAnsi="標楷體" w:eastAsia="標楷體"/>
          <w:color w:val="000000"/>
          <w:sz w:val="24"/>
        </w:rPr>
        <w:t>（二）</w:t>
      </w:r>
      <w:r>
        <w:rPr>
          <w:rFonts w:ascii="標楷體" w:hAnsi="標楷體" w:eastAsia="標楷體"/>
          <w:b/>
          <w:color w:val="000000"/>
          <w:sz w:val="24"/>
        </w:rPr>
        <w:t>由評審小組先針對各廠商所提之企劃書內容予以審閱後，</w:t>
      </w:r>
      <w:r>
        <w:rPr>
          <w:rFonts w:ascii="標楷體" w:hAnsi="標楷體" w:eastAsia="標楷體"/>
          <w:color w:val="000000"/>
          <w:sz w:val="24"/>
        </w:rPr>
        <w:t>由各廠商於評審會議</w:t>
      </w:r>
      <w:r>
        <w:rPr>
          <w:rFonts w:ascii="標楷體" w:hAnsi="標楷體" w:eastAsia="標楷體"/>
          <w:color w:val="000000"/>
          <w:sz w:val="24"/>
        </w:rPr>
        <w:t>當天提出</w:t>
      </w:r>
      <w:r>
        <w:rPr>
          <w:rFonts w:ascii="標楷體" w:hAnsi="標楷體" w:eastAsia="標楷體"/>
          <w:b/>
          <w:color w:val="000000"/>
          <w:sz w:val="24"/>
        </w:rPr>
        <w:t>簡報，並於會議前決定簡報順序。廠商簡報時間</w:t>
      </w:r>
      <w:r>
        <w:rPr>
          <w:rFonts w:eastAsia="標楷體" w:ascii="標楷體" w:hAnsi="標楷體"/>
          <w:b/>
          <w:color w:val="000000"/>
          <w:sz w:val="24"/>
        </w:rPr>
        <w:t>20</w:t>
      </w:r>
      <w:r>
        <w:rPr>
          <w:rFonts w:ascii="標楷體" w:hAnsi="標楷體" w:eastAsia="標楷體"/>
          <w:b/>
          <w:color w:val="000000"/>
          <w:sz w:val="24"/>
        </w:rPr>
        <w:t>分鐘，委員詢問時間</w:t>
      </w:r>
      <w:r>
        <w:rPr>
          <w:rFonts w:eastAsia="標楷體" w:ascii="標楷體" w:hAnsi="標楷體"/>
          <w:b/>
          <w:color w:val="000000"/>
          <w:sz w:val="24"/>
        </w:rPr>
        <w:t>10</w:t>
      </w:r>
      <w:r>
        <w:rPr>
          <w:rFonts w:ascii="標楷體" w:hAnsi="標楷體" w:eastAsia="標楷體"/>
          <w:b/>
          <w:color w:val="000000"/>
          <w:sz w:val="24"/>
        </w:rPr>
        <w:t>分鐘，評審小組有權酌予增減。各廠商簡報時其他廠商應退席，評審小組評審時所有廠商一律退席。（簡報時廠商代表</w:t>
      </w:r>
      <w:r>
        <w:rPr>
          <w:rFonts w:eastAsia="標楷體" w:ascii="標楷體" w:hAnsi="標楷體"/>
          <w:b/>
          <w:color w:val="000000"/>
          <w:sz w:val="24"/>
        </w:rPr>
        <w:t>1</w:t>
      </w:r>
      <w:r>
        <w:rPr>
          <w:rFonts w:ascii="標楷體" w:hAnsi="標楷體" w:eastAsia="標楷體"/>
          <w:b/>
          <w:color w:val="000000"/>
          <w:sz w:val="24"/>
        </w:rPr>
        <w:t>人，協助簡報人數不得超過</w:t>
      </w:r>
      <w:r>
        <w:rPr>
          <w:rFonts w:eastAsia="標楷體" w:ascii="標楷體" w:hAnsi="標楷體"/>
          <w:b/>
          <w:color w:val="000000"/>
          <w:sz w:val="24"/>
        </w:rPr>
        <w:t>2</w:t>
      </w:r>
      <w:r>
        <w:rPr>
          <w:rFonts w:ascii="標楷體" w:hAnsi="標楷體" w:eastAsia="標楷體"/>
          <w:b/>
          <w:color w:val="000000"/>
          <w:sz w:val="24"/>
        </w:rPr>
        <w:t>人）。</w:t>
      </w:r>
    </w:p>
    <w:p>
      <w:pPr>
        <w:pStyle w:val="Normal"/>
        <w:spacing w:lineRule="exact" w:line="420"/>
        <w:ind w:left="1200" w:hanging="120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  <w:sz w:val="24"/>
        </w:rPr>
        <w:t xml:space="preserve">       </w:t>
      </w:r>
      <w:r>
        <w:rPr>
          <w:rFonts w:ascii="標楷體" w:hAnsi="標楷體" w:eastAsia="標楷體"/>
          <w:color w:val="000000"/>
          <w:sz w:val="24"/>
        </w:rPr>
        <w:t>（三）</w:t>
      </w:r>
      <w:r>
        <w:rPr>
          <w:rFonts w:ascii="標楷體" w:hAnsi="標楷體" w:eastAsia="標楷體"/>
          <w:b/>
          <w:color w:val="000000"/>
          <w:sz w:val="24"/>
        </w:rPr>
        <w:t>各評審委員依評審項目，填寫評分表之個別廠商各項目及子項評分，交由本家承辦人員計算個別廠商之平均總評分</w:t>
      </w:r>
      <w:r>
        <w:rPr>
          <w:rFonts w:eastAsia="標楷體" w:ascii="標楷體" w:hAnsi="標楷體"/>
          <w:b/>
          <w:color w:val="000000"/>
          <w:sz w:val="24"/>
        </w:rPr>
        <w:t>(</w:t>
      </w:r>
      <w:r>
        <w:rPr>
          <w:rFonts w:ascii="標楷體" w:hAnsi="標楷體" w:eastAsia="標楷體"/>
          <w:b/>
          <w:color w:val="000000"/>
          <w:sz w:val="24"/>
        </w:rPr>
        <w:t>計算至小數點以下二位數，小數點以下第三位四捨五入</w:t>
      </w:r>
      <w:r>
        <w:rPr>
          <w:rFonts w:eastAsia="標楷體" w:ascii="標楷體" w:hAnsi="標楷體"/>
          <w:b/>
          <w:color w:val="000000"/>
          <w:sz w:val="24"/>
        </w:rPr>
        <w:t>)</w:t>
      </w:r>
      <w:r>
        <w:rPr>
          <w:rFonts w:ascii="標楷體" w:hAnsi="標楷體" w:eastAsia="標楷體"/>
          <w:b/>
          <w:color w:val="000000"/>
          <w:sz w:val="24"/>
        </w:rPr>
        <w:t>，未達</w:t>
      </w:r>
      <w:r>
        <w:rPr>
          <w:rFonts w:eastAsia="標楷體" w:ascii="標楷體" w:hAnsi="標楷體"/>
          <w:b/>
          <w:color w:val="000000"/>
          <w:sz w:val="24"/>
        </w:rPr>
        <w:t>80</w:t>
      </w:r>
      <w:r>
        <w:rPr>
          <w:rFonts w:ascii="標楷體" w:hAnsi="標楷體" w:eastAsia="標楷體"/>
          <w:b/>
          <w:color w:val="000000"/>
          <w:sz w:val="24"/>
        </w:rPr>
        <w:t>分者不得列為符合資格進入比價階段。若所有廠商平均總評分均未達</w:t>
      </w:r>
      <w:r>
        <w:rPr>
          <w:rFonts w:eastAsia="標楷體" w:ascii="標楷體" w:hAnsi="標楷體"/>
          <w:b/>
          <w:color w:val="000000"/>
          <w:sz w:val="24"/>
        </w:rPr>
        <w:t>80</w:t>
      </w:r>
      <w:r>
        <w:rPr>
          <w:rFonts w:ascii="標楷體" w:hAnsi="標楷體" w:eastAsia="標楷體"/>
          <w:b/>
          <w:color w:val="000000"/>
          <w:sz w:val="24"/>
        </w:rPr>
        <w:t>分時，則本案廢標。</w:t>
      </w:r>
    </w:p>
    <w:p>
      <w:pPr>
        <w:pStyle w:val="Normal"/>
        <w:spacing w:lineRule="exact" w:line="420"/>
        <w:ind w:left="1200" w:hanging="120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  <w:sz w:val="24"/>
        </w:rPr>
        <w:t xml:space="preserve">       </w:t>
      </w:r>
      <w:r>
        <w:rPr>
          <w:rFonts w:ascii="標楷體" w:hAnsi="標楷體" w:eastAsia="標楷體"/>
          <w:color w:val="000000"/>
          <w:sz w:val="24"/>
        </w:rPr>
        <w:t>（四）</w:t>
      </w:r>
      <w:r>
        <w:rPr>
          <w:rFonts w:ascii="標楷體" w:hAnsi="標楷體" w:eastAsia="標楷體"/>
          <w:b/>
          <w:color w:val="000000"/>
          <w:sz w:val="24"/>
        </w:rPr>
        <w:t>評分表請評審委員於評審完成並簽章後，交本評審主辦單位人員唱票計分用。本評審表之評審委員編號欄，由各委員自行抽號編入，承辦人員於唱票時不得將委員姓名報出，唱票後評分表應予彌封。</w:t>
      </w:r>
    </w:p>
    <w:p>
      <w:pPr>
        <w:pStyle w:val="Normal"/>
        <w:spacing w:lineRule="exact" w:line="42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  <w:sz w:val="24"/>
        </w:rPr>
        <w:t xml:space="preserve">       </w:t>
      </w:r>
      <w:r>
        <w:rPr>
          <w:rFonts w:ascii="標楷體" w:hAnsi="標楷體" w:eastAsia="標楷體"/>
          <w:color w:val="000000"/>
          <w:sz w:val="24"/>
        </w:rPr>
        <w:t>（五）為建立公信力如評審委員於評審當日因要公不克參加，其評審表不予計入唱票評分。</w:t>
      </w:r>
    </w:p>
    <w:p>
      <w:pPr>
        <w:pStyle w:val="Normal"/>
        <w:spacing w:lineRule="exact" w:line="420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ascii="標楷體" w:hAnsi="標楷體" w:eastAsia="標楷體"/>
          <w:color w:val="000000"/>
          <w:sz w:val="28"/>
          <w:szCs w:val="28"/>
        </w:rPr>
        <w:t xml:space="preserve">   </w:t>
      </w:r>
      <w:r>
        <w:rPr>
          <w:rFonts w:ascii="標楷體" w:hAnsi="標楷體" w:eastAsia="標楷體"/>
          <w:color w:val="000000"/>
          <w:sz w:val="28"/>
          <w:szCs w:val="28"/>
        </w:rPr>
        <w:t>五、其他：</w:t>
      </w:r>
    </w:p>
    <w:p>
      <w:pPr>
        <w:pStyle w:val="Normal"/>
        <w:spacing w:lineRule="exact" w:line="420"/>
        <w:ind w:left="1066" w:hanging="72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  <w:sz w:val="24"/>
        </w:rPr>
        <w:t xml:space="preserve">     </w:t>
      </w:r>
      <w:r>
        <w:rPr>
          <w:rFonts w:eastAsia="標楷體" w:ascii="標楷體" w:hAnsi="標楷體"/>
          <w:color w:val="000000"/>
          <w:sz w:val="24"/>
        </w:rPr>
        <w:t>(</w:t>
      </w:r>
      <w:r>
        <w:rPr>
          <w:rFonts w:ascii="標楷體" w:hAnsi="標楷體" w:eastAsia="標楷體"/>
          <w:color w:val="000000"/>
          <w:sz w:val="24"/>
        </w:rPr>
        <w:t>一</w:t>
      </w:r>
      <w:r>
        <w:rPr>
          <w:rFonts w:eastAsia="標楷體" w:ascii="標楷體" w:hAnsi="標楷體"/>
          <w:color w:val="000000"/>
          <w:sz w:val="24"/>
        </w:rPr>
        <w:t xml:space="preserve">) </w:t>
      </w:r>
      <w:r>
        <w:rPr>
          <w:rFonts w:ascii="標楷體" w:hAnsi="標楷體" w:eastAsia="標楷體"/>
          <w:color w:val="000000"/>
          <w:sz w:val="24"/>
        </w:rPr>
        <w:t>廠商訂定之「</w:t>
      </w:r>
      <w:r>
        <w:rPr>
          <w:rFonts w:ascii="標楷體" w:hAnsi="標楷體" w:eastAsia="標楷體"/>
          <w:b/>
          <w:bCs/>
          <w:color w:val="000000"/>
          <w:sz w:val="24"/>
        </w:rPr>
        <w:t>板橋榮家福利中心場地出租公開標案經營企劃書</w:t>
      </w:r>
      <w:r>
        <w:rPr>
          <w:rFonts w:ascii="標楷體" w:hAnsi="標楷體" w:eastAsia="標楷體"/>
          <w:color w:val="000000"/>
          <w:sz w:val="24"/>
        </w:rPr>
        <w:t>」視為合約之契約一部，若有經營違約事項須依本家招標事項辦理。</w:t>
      </w:r>
    </w:p>
    <w:p>
      <w:pPr>
        <w:pStyle w:val="Normal"/>
        <w:spacing w:lineRule="exact" w:line="420"/>
        <w:ind w:left="827" w:hanging="360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  <w:sz w:val="24"/>
        </w:rPr>
        <w:t xml:space="preserve">    </w:t>
      </w:r>
      <w:r>
        <w:rPr>
          <w:rFonts w:eastAsia="標楷體" w:ascii="標楷體" w:hAnsi="標楷體"/>
          <w:color w:val="000000"/>
          <w:sz w:val="24"/>
        </w:rPr>
        <w:t>(</w:t>
      </w:r>
      <w:r>
        <w:rPr>
          <w:rFonts w:ascii="標楷體" w:hAnsi="標楷體" w:eastAsia="標楷體"/>
          <w:color w:val="000000"/>
          <w:sz w:val="24"/>
        </w:rPr>
        <w:t>二</w:t>
      </w:r>
      <w:r>
        <w:rPr>
          <w:rFonts w:eastAsia="標楷體" w:ascii="標楷體" w:hAnsi="標楷體"/>
          <w:color w:val="000000"/>
          <w:sz w:val="24"/>
        </w:rPr>
        <w:t xml:space="preserve">) </w:t>
      </w:r>
      <w:r>
        <w:rPr>
          <w:rFonts w:ascii="標楷體" w:hAnsi="標楷體" w:eastAsia="標楷體"/>
          <w:color w:val="000000"/>
          <w:sz w:val="24"/>
        </w:rPr>
        <w:t>如有未盡事宜，悉依相關規定辦理，本家得於開標前說明並以本家解釋為準。</w:t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jc w:val="center"/>
        <w:rPr>
          <w:rFonts w:ascii="標楷體" w:hAnsi="標楷體" w:eastAsia="標楷體"/>
          <w:b/>
          <w:color w:val="000000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Normal"/>
        <w:snapToGrid w:val="false"/>
        <w:spacing w:lineRule="exact" w:line="400"/>
        <w:jc w:val="center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b/>
          <w:color w:val="000000"/>
          <w:szCs w:val="32"/>
        </w:rPr>
        <w:t>板橋榮家福利中心場地出租公開標租案</w:t>
      </w:r>
    </w:p>
    <w:p>
      <w:pPr>
        <w:pStyle w:val="Normal"/>
        <w:snapToGrid w:val="false"/>
        <w:spacing w:lineRule="exact" w:line="400"/>
        <w:jc w:val="center"/>
        <w:rPr>
          <w:rFonts w:ascii="標楷體" w:hAnsi="標楷體" w:eastAsia="標楷體"/>
          <w:color w:val="000000"/>
        </w:rPr>
      </w:pPr>
      <w:r>
        <w:rPr>
          <w:rFonts w:eastAsia="標楷體" w:ascii="標楷體" w:hAnsi="標楷體"/>
          <w:b/>
          <w:color w:val="000000"/>
          <w:szCs w:val="32"/>
        </w:rPr>
        <w:t>(</w:t>
      </w:r>
      <w:r>
        <w:rPr>
          <w:rFonts w:ascii="標楷體" w:hAnsi="標楷體" w:eastAsia="標楷體"/>
          <w:b/>
          <w:color w:val="000000"/>
          <w:szCs w:val="32"/>
        </w:rPr>
        <w:t>案號：</w:t>
      </w:r>
      <w:r>
        <w:rPr>
          <w:rFonts w:eastAsia="標楷體" w:ascii="標楷體" w:hAnsi="標楷體"/>
          <w:b/>
          <w:color w:val="000000"/>
          <w:szCs w:val="32"/>
        </w:rPr>
        <w:t>115-0009</w:t>
      </w:r>
      <w:r>
        <w:rPr>
          <w:rFonts w:eastAsia="標楷體" w:ascii="標楷體" w:hAnsi="標楷體"/>
          <w:b/>
          <w:color w:val="000000"/>
          <w:szCs w:val="32"/>
        </w:rPr>
        <w:t>)</w:t>
      </w:r>
      <w:r>
        <w:rPr>
          <w:rFonts w:eastAsia="標楷體" w:ascii="標楷體" w:hAnsi="標楷體"/>
          <w:b/>
          <w:bCs/>
          <w:color w:val="000000"/>
          <w:szCs w:val="32"/>
        </w:rPr>
        <w:t xml:space="preserve">  </w:t>
      </w:r>
    </w:p>
    <w:p>
      <w:pPr>
        <w:pStyle w:val="Normal"/>
        <w:snapToGrid w:val="false"/>
        <w:spacing w:lineRule="exact" w:line="400"/>
        <w:jc w:val="center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b/>
          <w:color w:val="000000"/>
          <w:szCs w:val="32"/>
        </w:rPr>
        <w:t>評審</w:t>
      </w:r>
      <w:r>
        <w:rPr>
          <w:rFonts w:ascii="標楷體" w:hAnsi="標楷體" w:cs="新細明體,Bold" w:eastAsia="標楷體"/>
          <w:b/>
          <w:bCs/>
          <w:color w:val="000000"/>
          <w:kern w:val="0"/>
          <w:szCs w:val="32"/>
        </w:rPr>
        <w:t>項目及配分</w:t>
      </w:r>
      <w:r>
        <w:rPr>
          <w:rFonts w:ascii="標楷體" w:hAnsi="標楷體" w:eastAsia="標楷體"/>
          <w:b/>
          <w:color w:val="000000"/>
          <w:szCs w:val="32"/>
        </w:rPr>
        <w:t>表</w:t>
      </w:r>
    </w:p>
    <w:p>
      <w:pPr>
        <w:pStyle w:val="Normal"/>
        <w:ind w:left="7000" w:hanging="7000"/>
        <w:rPr>
          <w:sz w:val="28"/>
          <w:szCs w:val="28"/>
        </w:rPr>
      </w:pPr>
      <w:r>
        <w:rPr>
          <w:rFonts w:eastAsia="標楷體" w:ascii="標楷體" w:hAnsi="標楷體"/>
          <w:color w:val="000000"/>
        </w:rPr>
      </w:r>
    </w:p>
    <w:p>
      <w:pPr>
        <w:pStyle w:val="Normal"/>
        <w:ind w:left="7000" w:hanging="7000"/>
        <w:jc w:val="right"/>
        <w:rPr>
          <w:rFonts w:ascii="標楷體" w:hAnsi="標楷體" w:eastAsia="標楷體"/>
          <w:color w:val="000000"/>
        </w:rPr>
      </w:pPr>
      <w:r>
        <w:rPr>
          <w:rFonts w:ascii="標楷體" w:hAnsi="標楷體" w:eastAsia="標楷體"/>
          <w:color w:val="000000"/>
          <w:sz w:val="28"/>
          <w:szCs w:val="28"/>
        </w:rPr>
        <w:t xml:space="preserve">  </w:t>
      </w:r>
      <w:r>
        <w:rPr>
          <w:rFonts w:ascii="標楷體" w:hAnsi="標楷體" w:eastAsia="標楷體"/>
          <w:color w:val="000000"/>
          <w:sz w:val="28"/>
          <w:szCs w:val="28"/>
        </w:rPr>
        <w:t>評審日期：    年    月    日</w:t>
      </w:r>
    </w:p>
    <w:tbl>
      <w:tblPr>
        <w:tblW w:w="12242" w:type="dxa"/>
        <w:jc w:val="left"/>
        <w:tblInd w:w="271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2450"/>
        <w:gridCol w:w="6873"/>
        <w:gridCol w:w="797"/>
        <w:gridCol w:w="1999"/>
        <w:gridCol w:w="123"/>
      </w:tblGrid>
      <w:tr>
        <w:trPr>
          <w:trHeight w:val="540" w:hRule="atLeast"/>
          <w:cantSplit w:val="true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評審主項目</w:t>
            </w:r>
          </w:p>
        </w:tc>
        <w:tc>
          <w:tcPr>
            <w:tcW w:w="6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6"/>
                <w:szCs w:val="26"/>
              </w:rPr>
              <w:t>子 項 目</w:t>
            </w:r>
          </w:p>
        </w:tc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6"/>
                <w:szCs w:val="26"/>
              </w:rPr>
              <w:t>所佔</w:t>
            </w:r>
          </w:p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6"/>
                <w:szCs w:val="26"/>
              </w:rPr>
              <w:t>配分</w:t>
            </w:r>
          </w:p>
        </w:tc>
        <w:tc>
          <w:tcPr>
            <w:tcW w:w="19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</w:r>
          </w:p>
        </w:tc>
        <w:tc>
          <w:tcPr>
            <w:tcW w:w="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</w:r>
          </w:p>
        </w:tc>
      </w:tr>
      <w:tr>
        <w:trPr>
          <w:trHeight w:val="435" w:hRule="atLeast"/>
          <w:cantSplit w:val="true"/>
        </w:trPr>
        <w:tc>
          <w:tcPr>
            <w:tcW w:w="24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68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7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19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  <w:p>
            <w:pPr>
              <w:pStyle w:val="Normal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0"/>
              </w:rPr>
              <w:t>）</w:t>
            </w:r>
          </w:p>
        </w:tc>
      </w:tr>
      <w:tr>
        <w:trPr>
          <w:trHeight w:val="852" w:hRule="atLeast"/>
          <w:cantSplit w:val="true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451" w:hanging="451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一、投標廠商簡介及履約能力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600" w:hanging="60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1</w:t>
            </w:r>
            <w:r>
              <w:rPr>
                <w:rFonts w:ascii="標楷體" w:hAnsi="標楷體" w:eastAsia="標楷體"/>
                <w:color w:val="000000"/>
                <w:sz w:val="24"/>
              </w:rPr>
              <w:t>）基本資料：【含公司規模、年營業額、員工人數、人員編制和人員素質等】。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624" w:right="-850" w:hanging="624"/>
              <w:jc w:val="left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2</w:t>
            </w:r>
            <w:r>
              <w:rPr>
                <w:rFonts w:ascii="標楷體" w:hAnsi="標楷體" w:eastAsia="標楷體"/>
                <w:color w:val="000000"/>
                <w:sz w:val="24"/>
              </w:rPr>
              <w:t>）人員相關教育訓練【含人員招募計劃、年度教育訓練等】。</w:t>
            </w:r>
          </w:p>
          <w:p>
            <w:pPr>
              <w:pStyle w:val="Normal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3</w:t>
            </w:r>
            <w:r>
              <w:rPr>
                <w:rFonts w:ascii="標楷體" w:hAnsi="標楷體" w:eastAsia="標楷體"/>
                <w:color w:val="000000"/>
                <w:sz w:val="24"/>
              </w:rPr>
              <w:t>）履約實績：【其他經營據點之介紹、過去業績】。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  <w:sz w:val="24"/>
              </w:rPr>
              <w:t>30</w:t>
            </w:r>
            <w:r>
              <w:rPr>
                <w:rFonts w:ascii="標楷體" w:hAnsi="標楷體" w:eastAsia="標楷體"/>
                <w:color w:val="000000"/>
                <w:sz w:val="24"/>
              </w:rPr>
              <w:t>分</w:t>
            </w:r>
          </w:p>
        </w:tc>
        <w:tc>
          <w:tcPr>
            <w:tcW w:w="19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1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</w:tr>
      <w:tr>
        <w:trPr>
          <w:trHeight w:val="624" w:hRule="atLeast"/>
          <w:cantSplit w:val="true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451" w:hanging="451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二、設計施工與營運規劃能力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600" w:hanging="60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1</w:t>
            </w:r>
            <w:r>
              <w:rPr>
                <w:rFonts w:ascii="標楷體" w:hAnsi="標楷體" w:eastAsia="標楷體"/>
                <w:color w:val="000000"/>
                <w:sz w:val="24"/>
              </w:rPr>
              <w:t>）空間配置及景觀布置設計。</w:t>
            </w:r>
          </w:p>
          <w:p>
            <w:pPr>
              <w:pStyle w:val="Normal"/>
              <w:ind w:left="600" w:hanging="60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2</w:t>
            </w:r>
            <w:r>
              <w:rPr>
                <w:rFonts w:ascii="標楷體" w:hAnsi="標楷體" w:eastAsia="標楷體"/>
                <w:color w:val="000000"/>
                <w:sz w:val="24"/>
              </w:rPr>
              <w:t>）營運計畫【含經營理念、營業服務項目、營業時間、營運管理、服務品質之管制及行銷活動等】。</w:t>
            </w:r>
          </w:p>
          <w:p>
            <w:pPr>
              <w:pStyle w:val="Normal"/>
              <w:ind w:left="600" w:hanging="60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3</w:t>
            </w:r>
            <w:r>
              <w:rPr>
                <w:rFonts w:ascii="標楷體" w:hAnsi="標楷體" w:eastAsia="標楷體"/>
                <w:color w:val="000000"/>
                <w:sz w:val="24"/>
              </w:rPr>
              <w:t>）公共安全衛生管理【含軟體、硬體設施管理及緊急應變措施</w:t>
            </w:r>
            <w:r>
              <w:rPr>
                <w:rFonts w:eastAsia="標楷體" w:ascii="標楷體" w:hAnsi="標楷體"/>
                <w:color w:val="000000"/>
                <w:sz w:val="24"/>
              </w:rPr>
              <w:t>(</w:t>
            </w:r>
            <w:r>
              <w:rPr>
                <w:rFonts w:ascii="標楷體" w:hAnsi="標楷體" w:eastAsia="標楷體"/>
                <w:color w:val="000000"/>
                <w:sz w:val="24"/>
              </w:rPr>
              <w:t>如：火災、地震</w:t>
            </w:r>
            <w:r>
              <w:rPr>
                <w:rFonts w:eastAsia="標楷體" w:ascii="標楷體" w:hAnsi="標楷體"/>
                <w:color w:val="000000"/>
                <w:sz w:val="24"/>
              </w:rPr>
              <w:t>)</w:t>
            </w:r>
            <w:r>
              <w:rPr>
                <w:rFonts w:ascii="標楷體" w:hAnsi="標楷體" w:eastAsia="標楷體"/>
                <w:color w:val="000000"/>
                <w:sz w:val="24"/>
              </w:rPr>
              <w:t>及保險</w:t>
            </w:r>
            <w:r>
              <w:rPr>
                <w:rFonts w:eastAsia="標楷體" w:ascii="標楷體" w:hAnsi="標楷體"/>
                <w:color w:val="000000"/>
                <w:sz w:val="24"/>
              </w:rPr>
              <w:t>(</w:t>
            </w:r>
            <w:r>
              <w:rPr>
                <w:rFonts w:ascii="標楷體" w:hAnsi="標楷體" w:eastAsia="標楷體"/>
                <w:color w:val="000000"/>
                <w:sz w:val="24"/>
              </w:rPr>
              <w:t>含火險、公共意外險</w:t>
            </w:r>
            <w:r>
              <w:rPr>
                <w:rFonts w:eastAsia="標楷體" w:ascii="標楷體" w:hAnsi="標楷體"/>
                <w:color w:val="000000"/>
                <w:sz w:val="24"/>
              </w:rPr>
              <w:t>)</w:t>
            </w:r>
            <w:r>
              <w:rPr>
                <w:rFonts w:ascii="標楷體" w:hAnsi="標楷體" w:eastAsia="標楷體"/>
                <w:color w:val="000000"/>
                <w:sz w:val="24"/>
              </w:rPr>
              <w:t xml:space="preserve">等】。 </w:t>
            </w:r>
          </w:p>
          <w:p>
            <w:pPr>
              <w:pStyle w:val="Normal"/>
              <w:ind w:left="600" w:hanging="60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4</w:t>
            </w:r>
            <w:r>
              <w:rPr>
                <w:rFonts w:ascii="標楷體" w:hAnsi="標楷體" w:eastAsia="標楷體"/>
                <w:color w:val="000000"/>
                <w:sz w:val="24"/>
              </w:rPr>
              <w:t>）人力配置計畫。</w:t>
            </w:r>
          </w:p>
          <w:p>
            <w:pPr>
              <w:pStyle w:val="Normal"/>
              <w:ind w:left="600" w:hanging="60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5</w:t>
            </w:r>
            <w:r>
              <w:rPr>
                <w:rFonts w:ascii="標楷體" w:hAnsi="標楷體" w:eastAsia="標楷體"/>
                <w:color w:val="000000"/>
                <w:sz w:val="24"/>
              </w:rPr>
              <w:t>）顧客滿意管理【含客訴處理流程】。</w:t>
            </w:r>
          </w:p>
          <w:p>
            <w:pPr>
              <w:pStyle w:val="Normal"/>
              <w:ind w:left="600" w:hanging="60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6</w:t>
            </w:r>
            <w:r>
              <w:rPr>
                <w:rFonts w:ascii="標楷體" w:hAnsi="標楷體" w:eastAsia="標楷體"/>
                <w:color w:val="000000"/>
                <w:sz w:val="24"/>
              </w:rPr>
              <w:t>）其他：如水電表設置、電信及電力系統及相關排水系統設定之規劃。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  <w:sz w:val="24"/>
              </w:rPr>
              <w:t>45</w:t>
            </w:r>
            <w:r>
              <w:rPr>
                <w:rFonts w:ascii="標楷體" w:hAnsi="標楷體" w:eastAsia="標楷體"/>
                <w:color w:val="000000"/>
                <w:sz w:val="24"/>
              </w:rPr>
              <w:t>分</w:t>
            </w:r>
          </w:p>
        </w:tc>
        <w:tc>
          <w:tcPr>
            <w:tcW w:w="19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1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</w:tr>
      <w:tr>
        <w:trPr>
          <w:trHeight w:val="624" w:hRule="atLeast"/>
          <w:cantSplit w:val="true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四、回饋與創新服務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600" w:hanging="60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1</w:t>
            </w:r>
            <w:r>
              <w:rPr>
                <w:rFonts w:ascii="標楷體" w:hAnsi="標楷體" w:eastAsia="標楷體"/>
                <w:color w:val="000000"/>
                <w:sz w:val="24"/>
              </w:rPr>
              <w:t>）其他有利於提升服務之具體方案、優惠方案或</w:t>
            </w:r>
            <w:r>
              <w:rPr>
                <w:rFonts w:ascii="標楷體" w:hAnsi="標楷體" w:cs="Arial" w:eastAsia="標楷體"/>
                <w:color w:val="000000"/>
                <w:sz w:val="24"/>
              </w:rPr>
              <w:t>回饋方案【由廠商自行提出構想或方案，例如：</w:t>
            </w:r>
            <w:r>
              <w:rPr>
                <w:rFonts w:ascii="標楷體" w:hAnsi="標楷體" w:eastAsia="標楷體"/>
                <w:color w:val="000000"/>
                <w:sz w:val="24"/>
              </w:rPr>
              <w:t>場地設備投資</w:t>
            </w:r>
            <w:r>
              <w:rPr>
                <w:rFonts w:ascii="標楷體" w:hAnsi="標楷體" w:cs="Arial" w:eastAsia="標楷體"/>
                <w:color w:val="000000"/>
                <w:sz w:val="24"/>
              </w:rPr>
              <w:t>、家區環境認養或改善、優惠住民及職員工便利服務等，並詳載於經營企劃書內】。</w:t>
            </w:r>
          </w:p>
          <w:p>
            <w:pPr>
              <w:pStyle w:val="Normal"/>
              <w:ind w:left="600" w:hanging="60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（</w:t>
            </w:r>
            <w:r>
              <w:rPr>
                <w:rFonts w:eastAsia="標楷體" w:ascii="標楷體" w:hAnsi="標楷體"/>
                <w:color w:val="000000"/>
                <w:sz w:val="24"/>
              </w:rPr>
              <w:t>2</w:t>
            </w:r>
            <w:r>
              <w:rPr>
                <w:rFonts w:ascii="標楷體" w:hAnsi="標楷體" w:eastAsia="標楷體"/>
                <w:color w:val="000000"/>
                <w:sz w:val="24"/>
              </w:rPr>
              <w:t>）說明將如何規劃配合本家節能措施【因應政府節能減碳、限制使用環保餐具及資源回收等政策，本家僅提供場地，環保餐具、清潔消毒、廢棄物處置作業及環境污染預防等措施概由廠商負責】。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  <w:sz w:val="24"/>
              </w:rPr>
              <w:t>15</w:t>
            </w:r>
            <w:r>
              <w:rPr>
                <w:rFonts w:ascii="標楷體" w:hAnsi="標楷體" w:eastAsia="標楷體"/>
                <w:color w:val="000000"/>
                <w:sz w:val="24"/>
              </w:rPr>
              <w:t>分</w:t>
            </w:r>
          </w:p>
        </w:tc>
        <w:tc>
          <w:tcPr>
            <w:tcW w:w="19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1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</w:tr>
      <w:tr>
        <w:trPr>
          <w:trHeight w:val="624" w:hRule="atLeast"/>
          <w:cantSplit w:val="true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4"/>
              </w:rPr>
              <w:t>五、簡報及答詢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  <w:sz w:val="24"/>
              </w:rPr>
            </w:pPr>
            <w:r>
              <w:rPr>
                <w:rFonts w:eastAsia="標楷體" w:ascii="標楷體" w:hAnsi="標楷體"/>
                <w:color w:val="000000"/>
                <w:sz w:val="24"/>
              </w:rPr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  <w:sz w:val="24"/>
              </w:rPr>
              <w:t>10</w:t>
            </w:r>
            <w:r>
              <w:rPr>
                <w:rFonts w:ascii="標楷體" w:hAnsi="標楷體" w:eastAsia="標楷體"/>
                <w:color w:val="000000"/>
                <w:sz w:val="24"/>
              </w:rPr>
              <w:t>分</w:t>
            </w:r>
          </w:p>
        </w:tc>
        <w:tc>
          <w:tcPr>
            <w:tcW w:w="19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1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</w:tr>
      <w:tr>
        <w:trPr>
          <w:trHeight w:val="624" w:hRule="atLeast"/>
          <w:cantSplit w:val="true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0"/>
              </w:rPr>
              <w:t>總 評 分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  <w:t>100</w:t>
            </w:r>
            <w:r>
              <w:rPr>
                <w:rFonts w:ascii="標楷體" w:hAnsi="標楷體" w:eastAsia="標楷體"/>
                <w:color w:val="000000"/>
                <w:sz w:val="28"/>
                <w:szCs w:val="20"/>
              </w:rPr>
              <w:t>分</w:t>
            </w:r>
          </w:p>
        </w:tc>
        <w:tc>
          <w:tcPr>
            <w:tcW w:w="199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  <w:tc>
          <w:tcPr>
            <w:tcW w:w="1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28"/>
                <w:szCs w:val="20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0"/>
              </w:rPr>
            </w:r>
          </w:p>
        </w:tc>
      </w:tr>
    </w:tbl>
    <w:p>
      <w:pPr>
        <w:pStyle w:val="BodyText"/>
        <w:spacing w:lineRule="exact" w:line="400" w:before="0" w:after="0"/>
        <w:ind w:left="0" w:right="4544" w:hanging="0"/>
        <w:rPr>
          <w:spacing w:val="-2"/>
          <w:sz w:val="28"/>
          <w:szCs w:val="28"/>
        </w:rPr>
      </w:pPr>
      <w:r>
        <w:rPr>
          <w:rFonts w:eastAsia="標楷體" w:ascii="標楷體" w:hAnsi="標楷體"/>
          <w:b/>
          <w:color w:val="000000"/>
        </w:rPr>
      </w:r>
    </w:p>
    <w:p>
      <w:pPr>
        <w:pStyle w:val="BodyText"/>
        <w:spacing w:lineRule="auto" w:line="218"/>
        <w:ind w:left="337" w:right="4544" w:hanging="281"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850" w:right="850" w:gutter="0" w:header="0" w:top="1380" w:footer="1240" w:bottom="142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MingLiU_HKSCS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標楷體">
    <w:charset w:val="88"/>
    <w:family w:val="roman"/>
    <w:pitch w:val="variable"/>
  </w:font>
  <w:font w:name="Segoe UI">
    <w:charset w:val="88"/>
    <w:family w:val="roman"/>
    <w:pitch w:val="variable"/>
  </w:font>
  <w:font w:name="標楷體">
    <w:charset w:val="01"/>
    <w:family w:val="script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ind w:left="0" w:right="0" w:hanging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page">
                <wp:posOffset>3657600</wp:posOffset>
              </wp:positionH>
              <wp:positionV relativeFrom="page">
                <wp:posOffset>9766300</wp:posOffset>
              </wp:positionV>
              <wp:extent cx="217170" cy="152400"/>
              <wp:effectExtent l="0" t="0" r="0" b="0"/>
              <wp:wrapNone/>
              <wp:docPr id="1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708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7"/>
                            <w:spacing w:lineRule="exact" w:line="223" w:before="0" w:after="0"/>
                            <w:ind w:left="6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2"/>
                              <w:rFonts w:ascii="Calibri" w:hAnsi="Calibri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  <w:spacing w:val="-2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2"/>
                              <w:rFonts w:ascii="Calibri" w:hAnsi="Calibri"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20"/>
                              <w:spacing w:val="-2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10"/>
                              <w:rFonts w:ascii="Calibri" w:hAnsi="Calibri"/>
                              <w:color w:val="000000"/>
                            </w:rPr>
                            <w:instrText xml:space="preserve"> NUMPAGES </w:instrText>
                          </w:r>
                          <w:r>
                            <w:rPr>
                              <w:sz w:val="20"/>
                              <w:spacing w:val="-10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10"/>
                              <w:rFonts w:ascii="Calibri" w:hAnsi="Calibri"/>
                              <w:color w:val="000000"/>
                            </w:rPr>
                            <w:t>5</w:t>
                          </w:r>
                          <w:r>
                            <w:rPr>
                              <w:sz w:val="20"/>
                              <w:spacing w:val="-10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288pt;margin-top:769pt;width:17.05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7"/>
                      <w:spacing w:lineRule="exact" w:line="223" w:before="0" w:after="0"/>
                      <w:ind w:left="6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2"/>
                        <w:rFonts w:ascii="Calibri" w:hAnsi="Calibri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0"/>
                        <w:spacing w:val="-2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2"/>
                        <w:rFonts w:ascii="Calibri" w:hAnsi="Calibri"/>
                        <w:color w:val="000000"/>
                      </w:rPr>
                      <w:t>3</w:t>
                    </w:r>
                    <w:r>
                      <w:rPr>
                        <w:sz w:val="20"/>
                        <w:spacing w:val="-2"/>
                        <w:rFonts w:ascii="Calibri" w:hAnsi="Calibri"/>
                        <w:color w:val="000000"/>
                      </w:rPr>
                      <w:fldChar w:fldCharType="end"/>
                    </w:r>
                    <w:r>
                      <w:rPr>
                        <w:rFonts w:ascii="Calibri" w:hAnsi="Calibri"/>
                        <w:color w:val="000000"/>
                        <w:spacing w:val="-2"/>
                        <w:sz w:val="20"/>
                      </w:rPr>
                      <w:t>-</w:t>
                    </w:r>
                    <w:r>
                      <w:rPr>
                        <w:rFonts w:ascii="Calibri" w:hAnsi="Calibri"/>
                        <w:color w:val="000000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10"/>
                        <w:rFonts w:ascii="Calibri" w:hAnsi="Calibri"/>
                        <w:color w:val="000000"/>
                      </w:rPr>
                      <w:instrText xml:space="preserve"> NUMPAGES </w:instrText>
                    </w:r>
                    <w:r>
                      <w:rPr>
                        <w:sz w:val="20"/>
                        <w:spacing w:val="-10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10"/>
                        <w:rFonts w:ascii="Calibri" w:hAnsi="Calibri"/>
                        <w:color w:val="000000"/>
                      </w:rPr>
                      <w:t>5</w:t>
                    </w:r>
                    <w:r>
                      <w:rPr>
                        <w:sz w:val="20"/>
                        <w:spacing w:val="-10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ind w:left="0" w:right="0" w:hanging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page">
                <wp:posOffset>3657600</wp:posOffset>
              </wp:positionH>
              <wp:positionV relativeFrom="page">
                <wp:posOffset>9766300</wp:posOffset>
              </wp:positionV>
              <wp:extent cx="217170" cy="152400"/>
              <wp:effectExtent l="0" t="0" r="0" b="0"/>
              <wp:wrapNone/>
              <wp:docPr id="2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708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7"/>
                            <w:spacing w:lineRule="exact" w:line="223" w:before="0" w:after="0"/>
                            <w:ind w:left="60" w:right="0" w:hanging="0"/>
                            <w:jc w:val="lef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2"/>
                              <w:rFonts w:ascii="Calibri" w:hAnsi="Calibri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  <w:spacing w:val="-2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2"/>
                              <w:rFonts w:ascii="Calibri" w:hAnsi="Calibri"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20"/>
                              <w:spacing w:val="-2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pacing w:val="-10"/>
                              <w:rFonts w:ascii="Calibri" w:hAnsi="Calibri"/>
                              <w:color w:val="000000"/>
                            </w:rPr>
                            <w:instrText xml:space="preserve"> NUMPAGES </w:instrText>
                          </w:r>
                          <w:r>
                            <w:rPr>
                              <w:sz w:val="20"/>
                              <w:spacing w:val="-10"/>
                              <w:rFonts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pacing w:val="-10"/>
                              <w:rFonts w:ascii="Calibri" w:hAnsi="Calibri"/>
                              <w:color w:val="000000"/>
                            </w:rPr>
                            <w:t>5</w:t>
                          </w:r>
                          <w:r>
                            <w:rPr>
                              <w:sz w:val="20"/>
                              <w:spacing w:val="-10"/>
                              <w:rFonts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288pt;margin-top:769pt;width:17.05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7"/>
                      <w:spacing w:lineRule="exact" w:line="223" w:before="0" w:after="0"/>
                      <w:ind w:left="60" w:right="0" w:hanging="0"/>
                      <w:jc w:val="lef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2"/>
                        <w:rFonts w:ascii="Calibri" w:hAnsi="Calibri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0"/>
                        <w:spacing w:val="-2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2"/>
                        <w:rFonts w:ascii="Calibri" w:hAnsi="Calibri"/>
                        <w:color w:val="000000"/>
                      </w:rPr>
                      <w:t>3</w:t>
                    </w:r>
                    <w:r>
                      <w:rPr>
                        <w:sz w:val="20"/>
                        <w:spacing w:val="-2"/>
                        <w:rFonts w:ascii="Calibri" w:hAnsi="Calibri"/>
                        <w:color w:val="000000"/>
                      </w:rPr>
                      <w:fldChar w:fldCharType="end"/>
                    </w:r>
                    <w:r>
                      <w:rPr>
                        <w:rFonts w:ascii="Calibri" w:hAnsi="Calibri"/>
                        <w:color w:val="000000"/>
                        <w:spacing w:val="-2"/>
                        <w:sz w:val="20"/>
                      </w:rPr>
                      <w:t>-</w:t>
                    </w:r>
                    <w:r>
                      <w:rPr>
                        <w:rFonts w:ascii="Calibri" w:hAnsi="Calibri"/>
                        <w:color w:val="000000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spacing w:val="-10"/>
                        <w:rFonts w:ascii="Calibri" w:hAnsi="Calibri"/>
                        <w:color w:val="000000"/>
                      </w:rPr>
                      <w:instrText xml:space="preserve"> NUMPAGES </w:instrText>
                    </w:r>
                    <w:r>
                      <w:rPr>
                        <w:sz w:val="20"/>
                        <w:spacing w:val="-10"/>
                        <w:rFonts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20"/>
                        <w:spacing w:val="-10"/>
                        <w:rFonts w:ascii="Calibri" w:hAnsi="Calibri"/>
                        <w:color w:val="000000"/>
                      </w:rPr>
                      <w:t>5</w:t>
                    </w:r>
                    <w:r>
                      <w:rPr>
                        <w:sz w:val="20"/>
                        <w:spacing w:val="-10"/>
                        <w:rFonts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15"/>
        </w:tabs>
        <w:ind w:left="1815" w:hanging="855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60"/>
  <w:defaultTabStop w:val="720"/>
  <w:autoHyphenation w:val="true"/>
  <w:compat>
    <w:doNotExpandShiftReturn/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MingLiU_HKSCS" w:hAnsi="MingLiU_HKSCS" w:eastAsia="MingLiU_HKSCS" w:cs="MingLiU_HKSCS"/>
      <w:color w:val="auto"/>
      <w:kern w:val="0"/>
      <w:sz w:val="22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思源黑體" w:cs="Arial"/>
      <w:sz w:val="28"/>
      <w:szCs w:val="28"/>
    </w:rPr>
  </w:style>
  <w:style w:type="paragraph" w:styleId="BodyText">
    <w:name w:val="Body Text"/>
    <w:basedOn w:val="Normal"/>
    <w:uiPriority w:val="1"/>
    <w:qFormat/>
    <w:pPr>
      <w:ind w:left="896" w:right="0" w:hanging="0"/>
    </w:pPr>
    <w:rPr>
      <w:rFonts w:ascii="MingLiU_HKSCS" w:hAnsi="MingLiU_HKSCS" w:eastAsia="MingLiU_HKSCS" w:cs="MingLiU_HKSCS"/>
      <w:sz w:val="28"/>
      <w:szCs w:val="28"/>
      <w:lang w:val="en-US" w:eastAsia="zh-TW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索引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"/>
    <w:qFormat/>
    <w:pPr>
      <w:ind w:left="57" w:right="0" w:hanging="0"/>
    </w:pPr>
    <w:rPr>
      <w:rFonts w:ascii="MingLiU_HKSCS" w:hAnsi="MingLiU_HKSCS" w:eastAsia="MingLiU_HKSCS" w:cs="MingLiU_HKSCS"/>
      <w:sz w:val="40"/>
      <w:szCs w:val="40"/>
      <w:lang w:val="en-US" w:eastAsia="zh-TW" w:bidi="ar-SA"/>
    </w:rPr>
  </w:style>
  <w:style w:type="paragraph" w:styleId="ListParagraph">
    <w:name w:val="List Paragraph"/>
    <w:basedOn w:val="Normal"/>
    <w:uiPriority w:val="1"/>
    <w:qFormat/>
    <w:pPr>
      <w:ind w:left="894" w:right="0" w:hanging="276"/>
    </w:pPr>
    <w:rPr>
      <w:rFonts w:ascii="MingLiU_HKSCS" w:hAnsi="MingLiU_HKSCS" w:eastAsia="MingLiU_HKSCS" w:cs="MingLiU_HKSCS"/>
      <w:lang w:val="en-US" w:eastAsia="zh-TW" w:bidi="ar-SA"/>
    </w:rPr>
  </w:style>
  <w:style w:type="paragraph" w:styleId="TableParagraph">
    <w:name w:val="Table Paragraph"/>
    <w:basedOn w:val="Normal"/>
    <w:uiPriority w:val="1"/>
    <w:qFormat/>
    <w:pPr>
      <w:spacing w:before="8" w:after="0"/>
      <w:ind w:left="107" w:right="0" w:hanging="0"/>
    </w:pPr>
    <w:rPr>
      <w:rFonts w:ascii="MingLiU_HKSCS" w:hAnsi="MingLiU_HKSCS" w:eastAsia="MingLiU_HKSCS" w:cs="MingLiU_HKSCS"/>
      <w:lang w:val="en-US" w:eastAsia="zh-TW" w:bidi="ar-SA"/>
    </w:rPr>
  </w:style>
  <w:style w:type="paragraph" w:styleId="Style16">
    <w:name w:val="頁首與頁尾"/>
    <w:basedOn w:val="Normal"/>
    <w:qFormat/>
    <w:pPr/>
    <w:rPr/>
  </w:style>
  <w:style w:type="paragraph" w:styleId="Footer">
    <w:name w:val="Footer"/>
    <w:basedOn w:val="Style16"/>
    <w:pPr/>
    <w:rPr/>
  </w:style>
  <w:style w:type="paragraph" w:styleId="Style17">
    <w:name w:val="外框內容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MODA_ODF_Application_Tools/3.8.2.1$Windows_X86_64 LibreOffice_project/f5c26b4b56ec181260ce3dbfc96a37e316bb7ca8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2026-05-25T05:38:29Z</dcterms:created>
  <dc:creator>ncluser</dc:creator>
  <dc:description/>
  <dc:language>zh-TW</dc:language>
  <cp:lastModifiedBy/>
  <cp:lastPrinted>2026-05-27T15:35:08Z</cp:lastPrinted>
  <dcterms:modified xsi:type="dcterms:W3CDTF">2026-05-27T16:13:42Z</dcterms:modified>
  <cp:revision>7</cp:revision>
  <dc:subject/>
  <dc:title>02-標租規範112-B-037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2023-06-08T00:00:00Z</vt:filetime>
  </property>
  <property fmtid="{D5CDD505-2E9C-101B-9397-08002B2CF9AE}" pid="3" name="Creator">
    <vt:lpwstr>Gaaiho PDF</vt:lpwstr>
  </property>
  <property fmtid="{D5CDD505-2E9C-101B-9397-08002B2CF9AE}" pid="4" name="LastSaved">
    <vt:filetime>2026-05-25T00:00:00Z</vt:filetime>
  </property>
  <property fmtid="{D5CDD505-2E9C-101B-9397-08002B2CF9AE}" pid="5" name="Producer">
    <vt:lpwstr>3-Heights(TM) PDF Security Shell 4.8.25.2 (http://www.pdf-tools.com)</vt:lpwstr>
  </property>
</Properties>
</file>